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3E76" w14:textId="77777777" w:rsidR="00772B9B" w:rsidRDefault="005E5CF5" w:rsidP="00772B9B">
      <w:pPr>
        <w:jc w:val="center"/>
        <w:rPr>
          <w:rFonts w:ascii="Times New Roman" w:hAnsi="Times New Roman" w:cs="Times New Roman"/>
          <w:b/>
          <w:sz w:val="24"/>
          <w:szCs w:val="24"/>
        </w:rPr>
      </w:pPr>
      <w:bookmarkStart w:id="0" w:name="_Hlk526334861"/>
      <w:r w:rsidRPr="0074638E">
        <w:rPr>
          <w:rFonts w:ascii="Times New Roman" w:hAnsi="Times New Roman" w:cs="Times New Roman"/>
          <w:b/>
          <w:sz w:val="24"/>
          <w:szCs w:val="24"/>
        </w:rPr>
        <w:t>SERTIFICĒŠANAS SHĒMA BŪVSPECIĀLISTU</w:t>
      </w:r>
      <w:r>
        <w:rPr>
          <w:rFonts w:ascii="Times New Roman" w:hAnsi="Times New Roman" w:cs="Times New Roman"/>
          <w:b/>
          <w:sz w:val="24"/>
          <w:szCs w:val="24"/>
        </w:rPr>
        <w:t xml:space="preserve"> KOMPETENCES NOVĒRTĒŠANAI UN PATSTĀVĪGĀS PRAKSES UZRAUDZĪBAI </w:t>
      </w:r>
      <w:r w:rsidRPr="0074638E">
        <w:rPr>
          <w:rFonts w:ascii="Times New Roman" w:hAnsi="Times New Roman" w:cs="Times New Roman"/>
          <w:b/>
          <w:sz w:val="24"/>
          <w:szCs w:val="24"/>
        </w:rPr>
        <w:t>BŪVEKSPERTĪZES SPECIALITĀT</w:t>
      </w:r>
      <w:bookmarkEnd w:id="0"/>
      <w:r>
        <w:rPr>
          <w:rFonts w:ascii="Times New Roman" w:hAnsi="Times New Roman" w:cs="Times New Roman"/>
          <w:b/>
          <w:sz w:val="24"/>
          <w:szCs w:val="24"/>
        </w:rPr>
        <w:t>Ē</w:t>
      </w:r>
    </w:p>
    <w:p w14:paraId="58F8173F" w14:textId="77777777" w:rsidR="00772B9B" w:rsidRPr="004221C0" w:rsidRDefault="005E5CF5" w:rsidP="00772B9B">
      <w:pPr>
        <w:pStyle w:val="ListParagraph"/>
        <w:numPr>
          <w:ilvl w:val="0"/>
          <w:numId w:val="1"/>
        </w:numPr>
        <w:jc w:val="both"/>
        <w:rPr>
          <w:rFonts w:ascii="Times New Roman" w:hAnsi="Times New Roman" w:cs="Times New Roman"/>
          <w:b/>
          <w:sz w:val="24"/>
          <w:szCs w:val="24"/>
        </w:rPr>
      </w:pPr>
      <w:r w:rsidRPr="004221C0">
        <w:rPr>
          <w:rFonts w:ascii="Times New Roman" w:hAnsi="Times New Roman" w:cs="Times New Roman"/>
          <w:b/>
          <w:sz w:val="24"/>
          <w:szCs w:val="24"/>
        </w:rPr>
        <w:t>Mērķis</w:t>
      </w:r>
    </w:p>
    <w:p w14:paraId="40A0B8AF" w14:textId="540D90D6" w:rsidR="00772B9B" w:rsidRPr="00E909F6" w:rsidRDefault="005E5CF5" w:rsidP="00486CAD">
      <w:pPr>
        <w:pStyle w:val="ListParagraph"/>
        <w:numPr>
          <w:ilvl w:val="1"/>
          <w:numId w:val="1"/>
        </w:numPr>
        <w:ind w:left="567" w:hanging="567"/>
        <w:jc w:val="both"/>
        <w:rPr>
          <w:rFonts w:ascii="Times New Roman" w:hAnsi="Times New Roman" w:cs="Times New Roman"/>
          <w:sz w:val="24"/>
          <w:szCs w:val="24"/>
        </w:rPr>
      </w:pPr>
      <w:r w:rsidRPr="00E909F6">
        <w:rPr>
          <w:rFonts w:ascii="Times New Roman" w:hAnsi="Times New Roman" w:cs="Times New Roman"/>
          <w:sz w:val="24"/>
          <w:szCs w:val="24"/>
        </w:rPr>
        <w:t>Sertificēšanas shēma paredz kārtību</w:t>
      </w:r>
      <w:r>
        <w:rPr>
          <w:rFonts w:ascii="Times New Roman" w:hAnsi="Times New Roman" w:cs="Times New Roman"/>
          <w:sz w:val="24"/>
          <w:szCs w:val="24"/>
        </w:rPr>
        <w:t>,</w:t>
      </w:r>
      <w:r w:rsidRPr="00E909F6">
        <w:rPr>
          <w:rFonts w:ascii="Times New Roman" w:hAnsi="Times New Roman" w:cs="Times New Roman"/>
          <w:sz w:val="24"/>
          <w:szCs w:val="24"/>
        </w:rPr>
        <w:t xml:space="preserve"> kādā Būvniecības valsts kontroles biroja (</w:t>
      </w:r>
      <w:r>
        <w:rPr>
          <w:rFonts w:ascii="Times New Roman" w:hAnsi="Times New Roman" w:cs="Times New Roman"/>
          <w:sz w:val="24"/>
          <w:szCs w:val="24"/>
        </w:rPr>
        <w:t>turpmāk - Birojs</w:t>
      </w:r>
      <w:r w:rsidRPr="00E909F6">
        <w:rPr>
          <w:rFonts w:ascii="Times New Roman" w:hAnsi="Times New Roman" w:cs="Times New Roman"/>
          <w:sz w:val="24"/>
          <w:szCs w:val="24"/>
        </w:rPr>
        <w:t xml:space="preserve">) </w:t>
      </w:r>
      <w:proofErr w:type="spellStart"/>
      <w:r w:rsidRPr="000D2F63">
        <w:rPr>
          <w:rFonts w:ascii="Times New Roman" w:hAnsi="Times New Roman" w:cs="Times New Roman"/>
          <w:sz w:val="24"/>
          <w:szCs w:val="24"/>
        </w:rPr>
        <w:t>Būvspeciālistu</w:t>
      </w:r>
      <w:proofErr w:type="spellEnd"/>
      <w:r w:rsidRPr="000D2F63">
        <w:rPr>
          <w:rFonts w:ascii="Times New Roman" w:hAnsi="Times New Roman" w:cs="Times New Roman"/>
          <w:sz w:val="24"/>
          <w:szCs w:val="24"/>
        </w:rPr>
        <w:t xml:space="preserve"> sertificēšanas nodaļa (</w:t>
      </w:r>
      <w:r>
        <w:rPr>
          <w:rFonts w:ascii="Times New Roman" w:hAnsi="Times New Roman" w:cs="Times New Roman"/>
          <w:sz w:val="24"/>
          <w:szCs w:val="24"/>
        </w:rPr>
        <w:t xml:space="preserve">turpmāk </w:t>
      </w:r>
      <w:r w:rsidR="00FC0A8E">
        <w:rPr>
          <w:rFonts w:ascii="Times New Roman" w:hAnsi="Times New Roman" w:cs="Times New Roman"/>
          <w:sz w:val="24"/>
          <w:szCs w:val="24"/>
        </w:rPr>
        <w:t>–</w:t>
      </w:r>
      <w:r>
        <w:rPr>
          <w:rFonts w:ascii="Times New Roman" w:hAnsi="Times New Roman" w:cs="Times New Roman"/>
          <w:sz w:val="24"/>
          <w:szCs w:val="24"/>
        </w:rPr>
        <w:t xml:space="preserve"> </w:t>
      </w:r>
      <w:r w:rsidRPr="000D2F63">
        <w:rPr>
          <w:rFonts w:ascii="Times New Roman" w:hAnsi="Times New Roman" w:cs="Times New Roman"/>
          <w:sz w:val="24"/>
          <w:szCs w:val="24"/>
        </w:rPr>
        <w:t>BSN) veic</w:t>
      </w:r>
      <w:r w:rsidRPr="00E909F6">
        <w:rPr>
          <w:rFonts w:ascii="Times New Roman" w:hAnsi="Times New Roman" w:cs="Times New Roman"/>
          <w:sz w:val="24"/>
          <w:szCs w:val="24"/>
        </w:rPr>
        <w:t xml:space="preserve"> </w:t>
      </w:r>
      <w:proofErr w:type="spellStart"/>
      <w:r w:rsidRPr="00E909F6">
        <w:rPr>
          <w:rFonts w:ascii="Times New Roman" w:hAnsi="Times New Roman" w:cs="Times New Roman"/>
          <w:sz w:val="24"/>
          <w:szCs w:val="24"/>
        </w:rPr>
        <w:t>būvspeciālistu</w:t>
      </w:r>
      <w:proofErr w:type="spellEnd"/>
      <w:r w:rsidRPr="00E909F6">
        <w:rPr>
          <w:rFonts w:ascii="Times New Roman" w:hAnsi="Times New Roman" w:cs="Times New Roman"/>
          <w:sz w:val="24"/>
          <w:szCs w:val="24"/>
        </w:rPr>
        <w:t xml:space="preserve"> </w:t>
      </w:r>
      <w:r>
        <w:rPr>
          <w:rFonts w:ascii="Times New Roman" w:hAnsi="Times New Roman" w:cs="Times New Roman"/>
          <w:sz w:val="24"/>
          <w:szCs w:val="24"/>
        </w:rPr>
        <w:t xml:space="preserve">sertificēšanu </w:t>
      </w:r>
      <w:r w:rsidRPr="00E909F6">
        <w:rPr>
          <w:rFonts w:ascii="Times New Roman" w:hAnsi="Times New Roman" w:cs="Times New Roman"/>
          <w:sz w:val="24"/>
          <w:szCs w:val="24"/>
        </w:rPr>
        <w:t>būvekspertīzes specialitātē atbilstoši Ministru kabineta 2018</w:t>
      </w:r>
      <w:r w:rsidR="008D22FE">
        <w:rPr>
          <w:rFonts w:ascii="Times New Roman" w:hAnsi="Times New Roman" w:cs="Times New Roman"/>
          <w:sz w:val="24"/>
          <w:szCs w:val="24"/>
        </w:rPr>
        <w:t xml:space="preserve"> </w:t>
      </w:r>
      <w:r w:rsidRPr="00E909F6">
        <w:rPr>
          <w:rFonts w:ascii="Times New Roman" w:hAnsi="Times New Roman" w:cs="Times New Roman"/>
          <w:sz w:val="24"/>
          <w:szCs w:val="24"/>
        </w:rPr>
        <w:t>.gada 20.</w:t>
      </w:r>
      <w:r w:rsidR="008D22FE">
        <w:rPr>
          <w:rFonts w:ascii="Times New Roman" w:hAnsi="Times New Roman" w:cs="Times New Roman"/>
          <w:sz w:val="24"/>
          <w:szCs w:val="24"/>
        </w:rPr>
        <w:t xml:space="preserve"> </w:t>
      </w:r>
      <w:r w:rsidRPr="00E909F6">
        <w:rPr>
          <w:rFonts w:ascii="Times New Roman" w:hAnsi="Times New Roman" w:cs="Times New Roman"/>
          <w:sz w:val="24"/>
          <w:szCs w:val="24"/>
        </w:rPr>
        <w:t>marta noteikumiem Nr.</w:t>
      </w:r>
      <w:r w:rsidR="008D22FE">
        <w:rPr>
          <w:rFonts w:ascii="Times New Roman" w:hAnsi="Times New Roman" w:cs="Times New Roman"/>
          <w:sz w:val="24"/>
          <w:szCs w:val="24"/>
        </w:rPr>
        <w:t xml:space="preserve"> </w:t>
      </w:r>
      <w:r w:rsidRPr="00E909F6">
        <w:rPr>
          <w:rFonts w:ascii="Times New Roman" w:hAnsi="Times New Roman" w:cs="Times New Roman"/>
          <w:sz w:val="24"/>
          <w:szCs w:val="24"/>
        </w:rPr>
        <w:t>169 „</w:t>
      </w:r>
      <w:proofErr w:type="spellStart"/>
      <w:r w:rsidRPr="00E909F6">
        <w:rPr>
          <w:rFonts w:ascii="Times New Roman" w:hAnsi="Times New Roman" w:cs="Times New Roman"/>
          <w:sz w:val="24"/>
          <w:szCs w:val="24"/>
        </w:rPr>
        <w:t>Būvspeciālistu</w:t>
      </w:r>
      <w:proofErr w:type="spellEnd"/>
      <w:r w:rsidRPr="00E909F6">
        <w:rPr>
          <w:rFonts w:ascii="Times New Roman" w:hAnsi="Times New Roman" w:cs="Times New Roman"/>
          <w:sz w:val="24"/>
          <w:szCs w:val="24"/>
        </w:rPr>
        <w:t xml:space="preserve"> kompetences novērtēšanas un patstāvīgās prakses uzraudzības noteikumi” (turpmāk – MK noteikumi Nr.</w:t>
      </w:r>
      <w:r w:rsidR="008D22FE">
        <w:rPr>
          <w:rFonts w:ascii="Times New Roman" w:hAnsi="Times New Roman" w:cs="Times New Roman"/>
          <w:sz w:val="24"/>
          <w:szCs w:val="24"/>
        </w:rPr>
        <w:t xml:space="preserve"> </w:t>
      </w:r>
      <w:r w:rsidRPr="00E909F6">
        <w:rPr>
          <w:rFonts w:ascii="Times New Roman" w:hAnsi="Times New Roman" w:cs="Times New Roman"/>
          <w:sz w:val="24"/>
          <w:szCs w:val="24"/>
        </w:rPr>
        <w:t>169)</w:t>
      </w:r>
      <w:r>
        <w:rPr>
          <w:rFonts w:ascii="Times New Roman" w:hAnsi="Times New Roman" w:cs="Times New Roman"/>
          <w:sz w:val="24"/>
          <w:szCs w:val="24"/>
        </w:rPr>
        <w:t xml:space="preserve"> (skat.</w:t>
      </w:r>
      <w:r w:rsidR="00FC0A8E">
        <w:rPr>
          <w:rFonts w:ascii="Times New Roman" w:hAnsi="Times New Roman" w:cs="Times New Roman"/>
          <w:sz w:val="24"/>
          <w:szCs w:val="24"/>
        </w:rPr>
        <w:t xml:space="preserve"> </w:t>
      </w:r>
      <w:r>
        <w:rPr>
          <w:rFonts w:ascii="Times New Roman" w:hAnsi="Times New Roman" w:cs="Times New Roman"/>
          <w:sz w:val="24"/>
          <w:szCs w:val="24"/>
        </w:rPr>
        <w:t>1.1.</w:t>
      </w:r>
      <w:r w:rsidR="008D22FE">
        <w:rPr>
          <w:rFonts w:ascii="Times New Roman" w:hAnsi="Times New Roman" w:cs="Times New Roman"/>
          <w:sz w:val="24"/>
          <w:szCs w:val="24"/>
        </w:rPr>
        <w:t xml:space="preserve"> </w:t>
      </w:r>
      <w:r>
        <w:rPr>
          <w:rFonts w:ascii="Times New Roman" w:hAnsi="Times New Roman" w:cs="Times New Roman"/>
          <w:sz w:val="24"/>
          <w:szCs w:val="24"/>
        </w:rPr>
        <w:t>pielikumu).</w:t>
      </w:r>
    </w:p>
    <w:p w14:paraId="70D9E185" w14:textId="77777777" w:rsidR="00772B9B" w:rsidRDefault="005E5CF5" w:rsidP="00491371">
      <w:pPr>
        <w:pStyle w:val="ListParagraph"/>
        <w:numPr>
          <w:ilvl w:val="1"/>
          <w:numId w:val="1"/>
        </w:numPr>
        <w:spacing w:after="0" w:line="240" w:lineRule="auto"/>
        <w:ind w:left="567" w:hanging="567"/>
        <w:jc w:val="both"/>
        <w:rPr>
          <w:rFonts w:ascii="Times New Roman" w:hAnsi="Times New Roman" w:cs="Times New Roman"/>
          <w:sz w:val="24"/>
          <w:szCs w:val="24"/>
        </w:rPr>
      </w:pPr>
      <w:r w:rsidRPr="00E909F6">
        <w:rPr>
          <w:rFonts w:ascii="Times New Roman" w:hAnsi="Times New Roman" w:cs="Times New Roman"/>
          <w:sz w:val="24"/>
          <w:szCs w:val="24"/>
        </w:rPr>
        <w:t>Sertificēšanas shēmā atbilstoši standarta LVS EN ISO/IEC 17024:2012 prasībām noteikta kārtība pretendentu iesniegtās dokumentācijas pieņemšan</w:t>
      </w:r>
      <w:r>
        <w:rPr>
          <w:rFonts w:ascii="Times New Roman" w:hAnsi="Times New Roman" w:cs="Times New Roman"/>
          <w:sz w:val="24"/>
          <w:szCs w:val="24"/>
        </w:rPr>
        <w:t>ai</w:t>
      </w:r>
      <w:r w:rsidRPr="00E909F6">
        <w:rPr>
          <w:rFonts w:ascii="Times New Roman" w:hAnsi="Times New Roman" w:cs="Times New Roman"/>
          <w:sz w:val="24"/>
          <w:szCs w:val="24"/>
        </w:rPr>
        <w:t>, kandidāta atbilstības novērtēšan</w:t>
      </w:r>
      <w:r>
        <w:rPr>
          <w:rFonts w:ascii="Times New Roman" w:hAnsi="Times New Roman" w:cs="Times New Roman"/>
          <w:sz w:val="24"/>
          <w:szCs w:val="24"/>
        </w:rPr>
        <w:t>ai</w:t>
      </w:r>
      <w:r w:rsidRPr="00E909F6">
        <w:rPr>
          <w:rFonts w:ascii="Times New Roman" w:hAnsi="Times New Roman" w:cs="Times New Roman"/>
          <w:sz w:val="24"/>
          <w:szCs w:val="24"/>
        </w:rPr>
        <w:t xml:space="preserve"> (pieteikuma atbilstības pārbaude, kandidāta eksaminācija), lēmuma pieņemšan</w:t>
      </w:r>
      <w:r>
        <w:rPr>
          <w:rFonts w:ascii="Times New Roman" w:hAnsi="Times New Roman" w:cs="Times New Roman"/>
          <w:sz w:val="24"/>
          <w:szCs w:val="24"/>
        </w:rPr>
        <w:t>ai</w:t>
      </w:r>
      <w:r w:rsidRPr="00E909F6">
        <w:rPr>
          <w:rFonts w:ascii="Times New Roman" w:hAnsi="Times New Roman" w:cs="Times New Roman"/>
          <w:sz w:val="24"/>
          <w:szCs w:val="24"/>
        </w:rPr>
        <w:t xml:space="preserve"> par kandidāta atbilstību vai neatbilstību sertifikācijas prasībām, sertifikātu izsniegšan</w:t>
      </w:r>
      <w:r>
        <w:rPr>
          <w:rFonts w:ascii="Times New Roman" w:hAnsi="Times New Roman" w:cs="Times New Roman"/>
          <w:sz w:val="24"/>
          <w:szCs w:val="24"/>
        </w:rPr>
        <w:t>ai</w:t>
      </w:r>
      <w:r w:rsidRPr="00E909F6">
        <w:rPr>
          <w:rFonts w:ascii="Times New Roman" w:hAnsi="Times New Roman" w:cs="Times New Roman"/>
          <w:sz w:val="24"/>
          <w:szCs w:val="24"/>
        </w:rPr>
        <w:t xml:space="preserve"> un reģistrēšan</w:t>
      </w:r>
      <w:r>
        <w:rPr>
          <w:rFonts w:ascii="Times New Roman" w:hAnsi="Times New Roman" w:cs="Times New Roman"/>
          <w:sz w:val="24"/>
          <w:szCs w:val="24"/>
        </w:rPr>
        <w:t>ai</w:t>
      </w:r>
      <w:r w:rsidRPr="00E909F6">
        <w:rPr>
          <w:rFonts w:ascii="Times New Roman" w:hAnsi="Times New Roman" w:cs="Times New Roman"/>
          <w:sz w:val="24"/>
          <w:szCs w:val="24"/>
        </w:rPr>
        <w:t xml:space="preserve">, sertificēto </w:t>
      </w:r>
      <w:proofErr w:type="spellStart"/>
      <w:r w:rsidRPr="00E909F6">
        <w:rPr>
          <w:rFonts w:ascii="Times New Roman" w:hAnsi="Times New Roman" w:cs="Times New Roman"/>
          <w:sz w:val="24"/>
          <w:szCs w:val="24"/>
        </w:rPr>
        <w:t>būvspeciālistu</w:t>
      </w:r>
      <w:proofErr w:type="spellEnd"/>
      <w:r w:rsidRPr="00E909F6">
        <w:rPr>
          <w:rFonts w:ascii="Times New Roman" w:hAnsi="Times New Roman" w:cs="Times New Roman"/>
          <w:sz w:val="24"/>
          <w:szCs w:val="24"/>
        </w:rPr>
        <w:t xml:space="preserve"> patstāvīgās prakses uzraudzīb</w:t>
      </w:r>
      <w:r>
        <w:rPr>
          <w:rFonts w:ascii="Times New Roman" w:hAnsi="Times New Roman" w:cs="Times New Roman"/>
          <w:sz w:val="24"/>
          <w:szCs w:val="24"/>
        </w:rPr>
        <w:t>ai</w:t>
      </w:r>
      <w:r w:rsidRPr="00E909F6">
        <w:rPr>
          <w:rFonts w:ascii="Times New Roman" w:hAnsi="Times New Roman" w:cs="Times New Roman"/>
          <w:sz w:val="24"/>
          <w:szCs w:val="24"/>
        </w:rPr>
        <w:t>, sertifikāta darbības apturēšan</w:t>
      </w:r>
      <w:r>
        <w:rPr>
          <w:rFonts w:ascii="Times New Roman" w:hAnsi="Times New Roman" w:cs="Times New Roman"/>
          <w:sz w:val="24"/>
          <w:szCs w:val="24"/>
        </w:rPr>
        <w:t>ai</w:t>
      </w:r>
      <w:r w:rsidRPr="00E909F6">
        <w:rPr>
          <w:rFonts w:ascii="Times New Roman" w:hAnsi="Times New Roman" w:cs="Times New Roman"/>
          <w:sz w:val="24"/>
          <w:szCs w:val="24"/>
        </w:rPr>
        <w:t>, anulēšan</w:t>
      </w:r>
      <w:r>
        <w:rPr>
          <w:rFonts w:ascii="Times New Roman" w:hAnsi="Times New Roman" w:cs="Times New Roman"/>
          <w:sz w:val="24"/>
          <w:szCs w:val="24"/>
        </w:rPr>
        <w:t>ai</w:t>
      </w:r>
      <w:r w:rsidRPr="00E909F6">
        <w:rPr>
          <w:rFonts w:ascii="Times New Roman" w:hAnsi="Times New Roman" w:cs="Times New Roman"/>
          <w:sz w:val="24"/>
          <w:szCs w:val="24"/>
        </w:rPr>
        <w:t xml:space="preserve"> un atjaunošan</w:t>
      </w:r>
      <w:r>
        <w:rPr>
          <w:rFonts w:ascii="Times New Roman" w:hAnsi="Times New Roman" w:cs="Times New Roman"/>
          <w:sz w:val="24"/>
          <w:szCs w:val="24"/>
        </w:rPr>
        <w:t>ai</w:t>
      </w:r>
      <w:r w:rsidRPr="00E909F6">
        <w:rPr>
          <w:rFonts w:ascii="Times New Roman" w:hAnsi="Times New Roman" w:cs="Times New Roman"/>
          <w:sz w:val="24"/>
          <w:szCs w:val="24"/>
        </w:rPr>
        <w:t xml:space="preserve">. </w:t>
      </w:r>
    </w:p>
    <w:p w14:paraId="71ADA43F" w14:textId="77777777" w:rsidR="00527D4C" w:rsidRPr="00527D4C" w:rsidRDefault="00527D4C" w:rsidP="00491371">
      <w:pPr>
        <w:spacing w:after="0" w:line="240" w:lineRule="auto"/>
        <w:ind w:left="-45"/>
        <w:jc w:val="both"/>
        <w:rPr>
          <w:rFonts w:ascii="Times New Roman" w:hAnsi="Times New Roman" w:cs="Times New Roman"/>
          <w:sz w:val="24"/>
          <w:szCs w:val="24"/>
        </w:rPr>
      </w:pPr>
    </w:p>
    <w:p w14:paraId="2D830BAF" w14:textId="77777777" w:rsidR="00772B9B" w:rsidRPr="00E909F6" w:rsidRDefault="005E5CF5" w:rsidP="00491371">
      <w:pPr>
        <w:pStyle w:val="ListParagraph"/>
        <w:numPr>
          <w:ilvl w:val="0"/>
          <w:numId w:val="1"/>
        </w:numPr>
        <w:spacing w:after="0" w:line="240" w:lineRule="auto"/>
        <w:jc w:val="both"/>
        <w:rPr>
          <w:rFonts w:ascii="Times New Roman" w:hAnsi="Times New Roman" w:cs="Times New Roman"/>
          <w:b/>
          <w:sz w:val="24"/>
          <w:szCs w:val="24"/>
        </w:rPr>
      </w:pPr>
      <w:r w:rsidRPr="00E909F6">
        <w:rPr>
          <w:rFonts w:ascii="Times New Roman" w:hAnsi="Times New Roman" w:cs="Times New Roman"/>
          <w:b/>
          <w:sz w:val="24"/>
          <w:szCs w:val="24"/>
        </w:rPr>
        <w:t>Termini un definīcijas</w:t>
      </w:r>
    </w:p>
    <w:p w14:paraId="176409B9" w14:textId="77777777" w:rsidR="00772B9B" w:rsidRDefault="005E5CF5" w:rsidP="00491371">
      <w:pPr>
        <w:pStyle w:val="ListParagraph"/>
        <w:numPr>
          <w:ilvl w:val="1"/>
          <w:numId w:val="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Sertificēšanas shēmā piemēroti Būvniecības likumā un standartā </w:t>
      </w:r>
      <w:r w:rsidRPr="0082115E">
        <w:rPr>
          <w:rFonts w:ascii="Times New Roman" w:hAnsi="Times New Roman" w:cs="Times New Roman"/>
          <w:sz w:val="24"/>
          <w:szCs w:val="24"/>
        </w:rPr>
        <w:t>LVS EN ISO/IEC 17024</w:t>
      </w:r>
      <w:r>
        <w:rPr>
          <w:rFonts w:ascii="Times New Roman" w:hAnsi="Times New Roman" w:cs="Times New Roman"/>
          <w:sz w:val="24"/>
          <w:szCs w:val="24"/>
        </w:rPr>
        <w:t>:2012 “</w:t>
      </w:r>
      <w:r w:rsidRPr="00BD56D6">
        <w:rPr>
          <w:rFonts w:ascii="Times New Roman" w:hAnsi="Times New Roman" w:cs="Times New Roman"/>
          <w:i/>
          <w:sz w:val="24"/>
          <w:szCs w:val="24"/>
        </w:rPr>
        <w:t>Atbilstības novērtēšana. Vispārīgās prasības personu sertificēšanas institūcijām</w:t>
      </w:r>
      <w:r>
        <w:rPr>
          <w:rFonts w:ascii="Times New Roman" w:hAnsi="Times New Roman" w:cs="Times New Roman"/>
          <w:sz w:val="24"/>
          <w:szCs w:val="24"/>
        </w:rPr>
        <w:t>” norādītie termini un definīcijas:</w:t>
      </w:r>
    </w:p>
    <w:p w14:paraId="73D5CD2E" w14:textId="6C0ADE78" w:rsidR="00527D4C" w:rsidRPr="0082115E" w:rsidRDefault="005E5CF5" w:rsidP="00527D4C">
      <w:pPr>
        <w:pStyle w:val="ListParagraph"/>
        <w:numPr>
          <w:ilvl w:val="2"/>
          <w:numId w:val="1"/>
        </w:numPr>
        <w:jc w:val="both"/>
        <w:rPr>
          <w:rFonts w:ascii="Times New Roman" w:hAnsi="Times New Roman" w:cs="Times New Roman"/>
          <w:sz w:val="24"/>
          <w:szCs w:val="24"/>
        </w:rPr>
      </w:pPr>
      <w:proofErr w:type="spellStart"/>
      <w:r w:rsidRPr="0082115E">
        <w:rPr>
          <w:rFonts w:ascii="Times New Roman" w:hAnsi="Times New Roman" w:cs="Times New Roman"/>
          <w:sz w:val="24"/>
          <w:szCs w:val="24"/>
        </w:rPr>
        <w:t>Būvspeciālists</w:t>
      </w:r>
      <w:proofErr w:type="spellEnd"/>
      <w:r w:rsidRPr="0082115E">
        <w:rPr>
          <w:rFonts w:ascii="Times New Roman" w:hAnsi="Times New Roman" w:cs="Times New Roman"/>
          <w:sz w:val="24"/>
          <w:szCs w:val="24"/>
        </w:rPr>
        <w:t xml:space="preserve"> – </w:t>
      </w:r>
      <w:r>
        <w:rPr>
          <w:rFonts w:ascii="Times New Roman" w:hAnsi="Times New Roman" w:cs="Times New Roman"/>
          <w:sz w:val="24"/>
          <w:szCs w:val="24"/>
        </w:rPr>
        <w:t>p</w:t>
      </w:r>
      <w:r w:rsidRPr="0082115E">
        <w:rPr>
          <w:rFonts w:ascii="Times New Roman" w:hAnsi="Times New Roman" w:cs="Times New Roman"/>
          <w:sz w:val="24"/>
          <w:szCs w:val="24"/>
        </w:rPr>
        <w:t xml:space="preserve">ersona, kas ieguvusi patstāvīgas prakses tiesības arhitektūras, būvniecības </w:t>
      </w:r>
      <w:r>
        <w:rPr>
          <w:rFonts w:ascii="Times New Roman" w:hAnsi="Times New Roman" w:cs="Times New Roman"/>
          <w:sz w:val="24"/>
          <w:szCs w:val="24"/>
        </w:rPr>
        <w:t>vai</w:t>
      </w:r>
      <w:r w:rsidRPr="0082115E">
        <w:rPr>
          <w:rFonts w:ascii="Times New Roman" w:hAnsi="Times New Roman" w:cs="Times New Roman"/>
          <w:sz w:val="24"/>
          <w:szCs w:val="24"/>
        </w:rPr>
        <w:t xml:space="preserve"> elektroenerģētikas jomā reglamentētās profesijās</w:t>
      </w:r>
      <w:r>
        <w:rPr>
          <w:rFonts w:ascii="Times New Roman" w:hAnsi="Times New Roman" w:cs="Times New Roman"/>
          <w:sz w:val="24"/>
          <w:szCs w:val="24"/>
        </w:rPr>
        <w:t xml:space="preserve"> (Būvniecības likuma 13.</w:t>
      </w:r>
      <w:r w:rsidR="000B4C72">
        <w:rPr>
          <w:rFonts w:ascii="Times New Roman" w:hAnsi="Times New Roman" w:cs="Times New Roman"/>
          <w:sz w:val="24"/>
          <w:szCs w:val="24"/>
        </w:rPr>
        <w:t xml:space="preserve"> </w:t>
      </w:r>
      <w:r>
        <w:rPr>
          <w:rFonts w:ascii="Times New Roman" w:hAnsi="Times New Roman" w:cs="Times New Roman"/>
          <w:sz w:val="24"/>
          <w:szCs w:val="24"/>
        </w:rPr>
        <w:t>pants).</w:t>
      </w:r>
    </w:p>
    <w:p w14:paraId="6C2D48C8"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Pretendents – </w:t>
      </w:r>
      <w:r>
        <w:rPr>
          <w:rFonts w:ascii="Times New Roman" w:hAnsi="Times New Roman" w:cs="Times New Roman"/>
          <w:sz w:val="24"/>
          <w:szCs w:val="24"/>
        </w:rPr>
        <w:t>p</w:t>
      </w:r>
      <w:r w:rsidRPr="0082115E">
        <w:rPr>
          <w:rFonts w:ascii="Times New Roman" w:hAnsi="Times New Roman" w:cs="Times New Roman"/>
          <w:sz w:val="24"/>
          <w:szCs w:val="24"/>
        </w:rPr>
        <w:t>ersona, kas ir iesniegusi pieteikumu pielaišanai sertifikācijas procesā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204E103A"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Kandidāts – </w:t>
      </w:r>
      <w:r>
        <w:rPr>
          <w:rFonts w:ascii="Times New Roman" w:hAnsi="Times New Roman" w:cs="Times New Roman"/>
          <w:sz w:val="24"/>
          <w:szCs w:val="24"/>
        </w:rPr>
        <w:t>p</w:t>
      </w:r>
      <w:r w:rsidRPr="0082115E">
        <w:rPr>
          <w:rFonts w:ascii="Times New Roman" w:hAnsi="Times New Roman" w:cs="Times New Roman"/>
          <w:sz w:val="24"/>
          <w:szCs w:val="24"/>
        </w:rPr>
        <w:t>retendents, kurš izpildījis konkrētus priekšnoteikumus un ir pielaists sertifikācijas procesam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6DD14660"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Sertifikācijas process – </w:t>
      </w:r>
      <w:r>
        <w:rPr>
          <w:rFonts w:ascii="Times New Roman" w:hAnsi="Times New Roman" w:cs="Times New Roman"/>
          <w:sz w:val="24"/>
          <w:szCs w:val="24"/>
        </w:rPr>
        <w:t>s</w:t>
      </w:r>
      <w:r w:rsidRPr="0082115E">
        <w:rPr>
          <w:rFonts w:ascii="Times New Roman" w:hAnsi="Times New Roman" w:cs="Times New Roman"/>
          <w:sz w:val="24"/>
          <w:szCs w:val="24"/>
        </w:rPr>
        <w:t>ertifikācijas institūcijas darbības, ieskaitot pieteikuma izskatīšanu, novērtēšanu, lēmuma pieņemšanu par sertifikāciju, atkārtotu sertifikāciju, sertifikātu un logo/marķējuma lietošanu, ar kurām nosaka, ka persona izpilda sertifikācijas prasības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1085D1C1" w14:textId="17F8C503"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Sertifikācijas prasības </w:t>
      </w:r>
      <w:r w:rsidR="00B54359" w:rsidRPr="0082115E">
        <w:rPr>
          <w:rFonts w:ascii="Times New Roman" w:hAnsi="Times New Roman" w:cs="Times New Roman"/>
          <w:sz w:val="24"/>
          <w:szCs w:val="24"/>
        </w:rPr>
        <w:t>–</w:t>
      </w:r>
      <w:r w:rsidRPr="0082115E">
        <w:rPr>
          <w:rFonts w:ascii="Times New Roman" w:hAnsi="Times New Roman" w:cs="Times New Roman"/>
          <w:sz w:val="24"/>
          <w:szCs w:val="24"/>
        </w:rPr>
        <w:t xml:space="preserve"> </w:t>
      </w:r>
      <w:r>
        <w:rPr>
          <w:rFonts w:ascii="Times New Roman" w:hAnsi="Times New Roman" w:cs="Times New Roman"/>
          <w:sz w:val="24"/>
          <w:szCs w:val="24"/>
        </w:rPr>
        <w:t>k</w:t>
      </w:r>
      <w:r w:rsidRPr="0082115E">
        <w:rPr>
          <w:rFonts w:ascii="Times New Roman" w:hAnsi="Times New Roman" w:cs="Times New Roman"/>
          <w:sz w:val="24"/>
          <w:szCs w:val="24"/>
        </w:rPr>
        <w:t>onkrētu prasību kopums, ieskaitot shēmas prasības, kuras ir jāizpilda, lai iegūtu vai uzturētu sertifikāciju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78CC9CC5"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Sertifikāts – </w:t>
      </w:r>
      <w:r>
        <w:rPr>
          <w:rFonts w:ascii="Times New Roman" w:hAnsi="Times New Roman" w:cs="Times New Roman"/>
          <w:sz w:val="24"/>
          <w:szCs w:val="24"/>
        </w:rPr>
        <w:t>s</w:t>
      </w:r>
      <w:r w:rsidRPr="0082115E">
        <w:rPr>
          <w:rFonts w:ascii="Times New Roman" w:hAnsi="Times New Roman" w:cs="Times New Roman"/>
          <w:sz w:val="24"/>
          <w:szCs w:val="24"/>
        </w:rPr>
        <w:t>ertifikācijas institūcijas izsniegts dokuments, kas apliecina, ka minētā persona ir izpildījusi sertifikācijas prasības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5CA73297"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Kompetence – </w:t>
      </w:r>
      <w:r>
        <w:rPr>
          <w:rFonts w:ascii="Times New Roman" w:hAnsi="Times New Roman" w:cs="Times New Roman"/>
          <w:sz w:val="24"/>
          <w:szCs w:val="24"/>
        </w:rPr>
        <w:t>s</w:t>
      </w:r>
      <w:r w:rsidRPr="0082115E">
        <w:rPr>
          <w:rFonts w:ascii="Times New Roman" w:hAnsi="Times New Roman" w:cs="Times New Roman"/>
          <w:sz w:val="24"/>
          <w:szCs w:val="24"/>
        </w:rPr>
        <w:t>pējas izmantot zināšanas un prasmes, lai sasniegtu paredzētos rezultātus (standarts LVS EN ISO/IEC 17024)</w:t>
      </w:r>
      <w:r>
        <w:rPr>
          <w:rFonts w:ascii="Times New Roman" w:hAnsi="Times New Roman" w:cs="Times New Roman"/>
          <w:sz w:val="24"/>
          <w:szCs w:val="24"/>
        </w:rPr>
        <w:t>.</w:t>
      </w:r>
    </w:p>
    <w:p w14:paraId="154CC2F8"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Sertifikācijas shēma – </w:t>
      </w:r>
      <w:r>
        <w:rPr>
          <w:rFonts w:ascii="Times New Roman" w:hAnsi="Times New Roman" w:cs="Times New Roman"/>
          <w:sz w:val="24"/>
          <w:szCs w:val="24"/>
        </w:rPr>
        <w:t>k</w:t>
      </w:r>
      <w:r w:rsidRPr="0082115E">
        <w:rPr>
          <w:rFonts w:ascii="Times New Roman" w:hAnsi="Times New Roman" w:cs="Times New Roman"/>
          <w:sz w:val="24"/>
          <w:szCs w:val="24"/>
        </w:rPr>
        <w:t>ompetence un citas prasības, kas ir attiecināmas uz konkrētām profesionālām vai personu kvalifikācijas kategorijām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3CE05E17"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Novērtēšana – </w:t>
      </w:r>
      <w:r>
        <w:rPr>
          <w:rFonts w:ascii="Times New Roman" w:hAnsi="Times New Roman" w:cs="Times New Roman"/>
          <w:sz w:val="24"/>
          <w:szCs w:val="24"/>
        </w:rPr>
        <w:t>p</w:t>
      </w:r>
      <w:r w:rsidRPr="0082115E">
        <w:rPr>
          <w:rFonts w:ascii="Times New Roman" w:hAnsi="Times New Roman" w:cs="Times New Roman"/>
          <w:sz w:val="24"/>
          <w:szCs w:val="24"/>
        </w:rPr>
        <w:t>rocess, kas novērtē personas spējas izpildīt sertifikācijas shēmas prasības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06866277"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Eksāmens – </w:t>
      </w:r>
      <w:r>
        <w:rPr>
          <w:rFonts w:ascii="Times New Roman" w:hAnsi="Times New Roman" w:cs="Times New Roman"/>
          <w:sz w:val="24"/>
          <w:szCs w:val="24"/>
        </w:rPr>
        <w:t>m</w:t>
      </w:r>
      <w:r w:rsidRPr="0082115E">
        <w:rPr>
          <w:rFonts w:ascii="Times New Roman" w:hAnsi="Times New Roman" w:cs="Times New Roman"/>
          <w:sz w:val="24"/>
          <w:szCs w:val="24"/>
        </w:rPr>
        <w:t xml:space="preserve">ehānisms, kas ir daļa no novērtēšanas, kurā novērtē kandidāta kompetenci ar vienu vai vairākiem līdzekļiem, tādiem kā rakstisks, mutisks, praktiska nodarbība un </w:t>
      </w:r>
      <w:r w:rsidRPr="0082115E">
        <w:rPr>
          <w:rFonts w:ascii="Times New Roman" w:hAnsi="Times New Roman" w:cs="Times New Roman"/>
          <w:sz w:val="24"/>
          <w:szCs w:val="24"/>
        </w:rPr>
        <w:lastRenderedPageBreak/>
        <w:t>novērojums, kā tas ir definēts sertifikācijas shēmā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6C7C14FE"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Eksaminētājs – </w:t>
      </w:r>
      <w:r>
        <w:rPr>
          <w:rFonts w:ascii="Times New Roman" w:hAnsi="Times New Roman" w:cs="Times New Roman"/>
          <w:sz w:val="24"/>
          <w:szCs w:val="24"/>
        </w:rPr>
        <w:t>p</w:t>
      </w:r>
      <w:r w:rsidRPr="0082115E">
        <w:rPr>
          <w:rFonts w:ascii="Times New Roman" w:hAnsi="Times New Roman" w:cs="Times New Roman"/>
          <w:sz w:val="24"/>
          <w:szCs w:val="24"/>
        </w:rPr>
        <w:t>ersona, kas kompetenta vadīt un skaitliski vērtēt eksāmenu, kur tas prasa profesionālus vērtējumus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6F3E4317"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Apelācija – </w:t>
      </w:r>
      <w:r>
        <w:rPr>
          <w:rFonts w:ascii="Times New Roman" w:hAnsi="Times New Roman" w:cs="Times New Roman"/>
          <w:sz w:val="24"/>
          <w:szCs w:val="24"/>
        </w:rPr>
        <w:t>p</w:t>
      </w:r>
      <w:r w:rsidRPr="0082115E">
        <w:rPr>
          <w:rFonts w:ascii="Times New Roman" w:hAnsi="Times New Roman" w:cs="Times New Roman"/>
          <w:sz w:val="24"/>
          <w:szCs w:val="24"/>
        </w:rPr>
        <w:t>retendenta, kandidāta vai sertificētas personas lūgums pārskatīt jebkuru lēmumu, kuru ir pieņēmusi sertifikācijas institūcija attiecībā uz viņa(</w:t>
      </w:r>
      <w:proofErr w:type="spellStart"/>
      <w:r w:rsidRPr="0082115E">
        <w:rPr>
          <w:rFonts w:ascii="Times New Roman" w:hAnsi="Times New Roman" w:cs="Times New Roman"/>
          <w:sz w:val="24"/>
          <w:szCs w:val="24"/>
        </w:rPr>
        <w:t>as</w:t>
      </w:r>
      <w:proofErr w:type="spellEnd"/>
      <w:r w:rsidRPr="0082115E">
        <w:rPr>
          <w:rFonts w:ascii="Times New Roman" w:hAnsi="Times New Roman" w:cs="Times New Roman"/>
          <w:sz w:val="24"/>
          <w:szCs w:val="24"/>
        </w:rPr>
        <w:t>) vēlamo sertifikācijas statusu (standarts LVS EN ISO/IEC 17024:2012)</w:t>
      </w:r>
      <w:r>
        <w:rPr>
          <w:rFonts w:ascii="Times New Roman" w:hAnsi="Times New Roman" w:cs="Times New Roman"/>
          <w:sz w:val="24"/>
          <w:szCs w:val="24"/>
        </w:rPr>
        <w:t>.</w:t>
      </w:r>
    </w:p>
    <w:p w14:paraId="42A0BC12" w14:textId="77777777" w:rsidR="00772B9B" w:rsidRPr="0082115E"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Sūdzība – </w:t>
      </w:r>
      <w:r>
        <w:rPr>
          <w:rFonts w:ascii="Times New Roman" w:hAnsi="Times New Roman" w:cs="Times New Roman"/>
          <w:sz w:val="24"/>
          <w:szCs w:val="24"/>
        </w:rPr>
        <w:t>o</w:t>
      </w:r>
      <w:r w:rsidRPr="0082115E">
        <w:rPr>
          <w:rFonts w:ascii="Times New Roman" w:hAnsi="Times New Roman" w:cs="Times New Roman"/>
          <w:sz w:val="24"/>
          <w:szCs w:val="24"/>
        </w:rPr>
        <w:t>rganizācijas vai indivīda neapmierinātības izpausme sertifikācijas institūcijai attiecībā uz tās vai sertificētās personas darbībām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r>
        <w:rPr>
          <w:rFonts w:ascii="Times New Roman" w:hAnsi="Times New Roman" w:cs="Times New Roman"/>
          <w:sz w:val="24"/>
          <w:szCs w:val="24"/>
        </w:rPr>
        <w:t>.</w:t>
      </w:r>
    </w:p>
    <w:p w14:paraId="2B5BDBFA" w14:textId="77777777" w:rsidR="00772B9B" w:rsidRDefault="005E5CF5" w:rsidP="00527D4C">
      <w:pPr>
        <w:pStyle w:val="ListParagraph"/>
        <w:numPr>
          <w:ilvl w:val="2"/>
          <w:numId w:val="1"/>
        </w:numPr>
        <w:jc w:val="both"/>
        <w:rPr>
          <w:rFonts w:ascii="Times New Roman" w:hAnsi="Times New Roman" w:cs="Times New Roman"/>
          <w:sz w:val="24"/>
          <w:szCs w:val="24"/>
        </w:rPr>
      </w:pPr>
      <w:r w:rsidRPr="0082115E">
        <w:rPr>
          <w:rFonts w:ascii="Times New Roman" w:hAnsi="Times New Roman" w:cs="Times New Roman"/>
          <w:sz w:val="24"/>
          <w:szCs w:val="24"/>
        </w:rPr>
        <w:t xml:space="preserve">Uzraudzība </w:t>
      </w:r>
      <w:r w:rsidR="00FC0A8E">
        <w:rPr>
          <w:rFonts w:ascii="Times New Roman" w:hAnsi="Times New Roman" w:cs="Times New Roman"/>
          <w:sz w:val="24"/>
          <w:szCs w:val="24"/>
        </w:rPr>
        <w:t>–</w:t>
      </w:r>
      <w:r w:rsidRPr="0082115E">
        <w:rPr>
          <w:rFonts w:ascii="Times New Roman" w:hAnsi="Times New Roman" w:cs="Times New Roman"/>
          <w:sz w:val="24"/>
          <w:szCs w:val="24"/>
        </w:rPr>
        <w:t xml:space="preserve"> </w:t>
      </w:r>
      <w:r>
        <w:rPr>
          <w:rFonts w:ascii="Times New Roman" w:hAnsi="Times New Roman" w:cs="Times New Roman"/>
          <w:sz w:val="24"/>
          <w:szCs w:val="24"/>
        </w:rPr>
        <w:t>s</w:t>
      </w:r>
      <w:r w:rsidRPr="0082115E">
        <w:rPr>
          <w:rFonts w:ascii="Times New Roman" w:hAnsi="Times New Roman" w:cs="Times New Roman"/>
          <w:sz w:val="24"/>
          <w:szCs w:val="24"/>
        </w:rPr>
        <w:t>ertificētas personas profesionālās darbības periodiska uzraudzība visā sertifikācijas periodā, lai nodrošinātu nepārtrauktu atbilstību sertifikācijas shēmai (standarts LVS EN ISO/IEC 17024</w:t>
      </w:r>
      <w:r>
        <w:rPr>
          <w:rFonts w:ascii="Times New Roman" w:hAnsi="Times New Roman" w:cs="Times New Roman"/>
          <w:sz w:val="24"/>
          <w:szCs w:val="24"/>
        </w:rPr>
        <w:t>:2012</w:t>
      </w:r>
      <w:r w:rsidRPr="0082115E">
        <w:rPr>
          <w:rFonts w:ascii="Times New Roman" w:hAnsi="Times New Roman" w:cs="Times New Roman"/>
          <w:sz w:val="24"/>
          <w:szCs w:val="24"/>
        </w:rPr>
        <w:t>).</w:t>
      </w:r>
    </w:p>
    <w:p w14:paraId="7E12CCB3" w14:textId="77777777" w:rsidR="00772B9B" w:rsidRPr="005752E6" w:rsidRDefault="005E5CF5" w:rsidP="00772B9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object w:dxaOrig="280" w:dyaOrig="280" w14:anchorId="4BCFC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7" o:title=""/>
          </v:shape>
          <o:OLEObject Type="Embed" ProgID="Visio.Drawing.15" ShapeID="_x0000_i1025" DrawAspect="Content" ObjectID="_1762773709" r:id="rId8"/>
        </w:object>
      </w:r>
      <w:r w:rsidRPr="005752E6">
        <w:rPr>
          <w:rFonts w:ascii="Times New Roman" w:hAnsi="Times New Roman" w:cs="Times New Roman"/>
          <w:b/>
          <w:sz w:val="24"/>
          <w:szCs w:val="24"/>
        </w:rPr>
        <w:t>Formas:</w:t>
      </w:r>
    </w:p>
    <w:p w14:paraId="3243E8C9" w14:textId="77777777" w:rsidR="00772B9B" w:rsidRDefault="005E5CF5" w:rsidP="00772B9B">
      <w:pPr>
        <w:pStyle w:val="ListParagraph"/>
        <w:numPr>
          <w:ilvl w:val="0"/>
          <w:numId w:val="2"/>
        </w:numPr>
        <w:spacing w:line="360" w:lineRule="auto"/>
        <w:ind w:left="312" w:hanging="357"/>
        <w:jc w:val="both"/>
        <w:rPr>
          <w:rFonts w:ascii="Times New Roman" w:hAnsi="Times New Roman" w:cs="Times New Roman"/>
          <w:sz w:val="24"/>
          <w:szCs w:val="24"/>
        </w:rPr>
      </w:pPr>
      <w:r w:rsidRPr="00A7357A">
        <w:rPr>
          <w:rFonts w:ascii="Times New Roman" w:hAnsi="Times New Roman" w:cs="Times New Roman"/>
          <w:sz w:val="24"/>
          <w:szCs w:val="24"/>
        </w:rPr>
        <w:t xml:space="preserve">Forma Nr.1: </w:t>
      </w:r>
      <w:r w:rsidRPr="007373ED">
        <w:rPr>
          <w:rFonts w:ascii="Times New Roman" w:hAnsi="Times New Roman" w:cs="Times New Roman"/>
          <w:sz w:val="24"/>
          <w:szCs w:val="24"/>
        </w:rPr>
        <w:t>Sertifikāts</w:t>
      </w:r>
    </w:p>
    <w:p w14:paraId="7246474D" w14:textId="77777777" w:rsidR="00527D4C" w:rsidRPr="00527D4C" w:rsidRDefault="00527D4C" w:rsidP="00527D4C">
      <w:pPr>
        <w:spacing w:after="0" w:line="240" w:lineRule="auto"/>
        <w:ind w:left="-45"/>
        <w:jc w:val="both"/>
        <w:rPr>
          <w:rFonts w:ascii="Times New Roman" w:hAnsi="Times New Roman" w:cs="Times New Roman"/>
          <w:sz w:val="24"/>
          <w:szCs w:val="24"/>
        </w:rPr>
      </w:pPr>
    </w:p>
    <w:p w14:paraId="0D2A3E7A" w14:textId="77777777" w:rsidR="00772B9B" w:rsidRPr="0074638E" w:rsidRDefault="005E5CF5" w:rsidP="00527D4C">
      <w:pPr>
        <w:pStyle w:val="ListParagraph"/>
        <w:numPr>
          <w:ilvl w:val="0"/>
          <w:numId w:val="1"/>
        </w:numPr>
        <w:jc w:val="both"/>
        <w:rPr>
          <w:rFonts w:ascii="Times New Roman" w:hAnsi="Times New Roman" w:cs="Times New Roman"/>
          <w:b/>
          <w:sz w:val="24"/>
          <w:szCs w:val="24"/>
        </w:rPr>
      </w:pPr>
      <w:r w:rsidRPr="0074638E">
        <w:rPr>
          <w:rFonts w:ascii="Times New Roman" w:hAnsi="Times New Roman" w:cs="Times New Roman"/>
          <w:b/>
          <w:sz w:val="24"/>
          <w:szCs w:val="24"/>
        </w:rPr>
        <w:t>Sertificēšanas darbības sfēras</w:t>
      </w:r>
    </w:p>
    <w:p w14:paraId="28AB7835" w14:textId="77777777" w:rsidR="00772B9B" w:rsidRDefault="005E5CF5" w:rsidP="00486CAD">
      <w:pPr>
        <w:pStyle w:val="ListParagraph"/>
        <w:numPr>
          <w:ilvl w:val="1"/>
          <w:numId w:val="1"/>
        </w:numPr>
        <w:ind w:left="567" w:hanging="567"/>
        <w:jc w:val="both"/>
        <w:rPr>
          <w:rFonts w:ascii="Times New Roman" w:hAnsi="Times New Roman" w:cs="Times New Roman"/>
          <w:sz w:val="24"/>
          <w:szCs w:val="24"/>
        </w:rPr>
      </w:pPr>
      <w:r w:rsidRPr="000D2F63">
        <w:rPr>
          <w:rFonts w:ascii="Times New Roman" w:eastAsia="Times New Roman" w:hAnsi="Times New Roman" w:cs="Times New Roman"/>
          <w:bCs/>
          <w:sz w:val="24"/>
          <w:szCs w:val="24"/>
        </w:rPr>
        <w:t>BSN</w:t>
      </w:r>
      <w:r w:rsidRPr="0074638E">
        <w:rPr>
          <w:rFonts w:ascii="Times New Roman" w:eastAsia="Times New Roman" w:hAnsi="Times New Roman" w:cs="Times New Roman"/>
          <w:bCs/>
          <w:sz w:val="24"/>
          <w:szCs w:val="24"/>
        </w:rPr>
        <w:t xml:space="preserve"> </w:t>
      </w:r>
      <w:r w:rsidRPr="0074638E">
        <w:rPr>
          <w:rFonts w:ascii="Times New Roman" w:hAnsi="Times New Roman" w:cs="Times New Roman"/>
          <w:sz w:val="24"/>
          <w:szCs w:val="24"/>
        </w:rPr>
        <w:t xml:space="preserve">veic </w:t>
      </w:r>
      <w:proofErr w:type="spellStart"/>
      <w:r w:rsidRPr="0074638E">
        <w:rPr>
          <w:rFonts w:ascii="Times New Roman" w:hAnsi="Times New Roman" w:cs="Times New Roman"/>
          <w:sz w:val="24"/>
          <w:szCs w:val="24"/>
        </w:rPr>
        <w:t>būvspeciālistu</w:t>
      </w:r>
      <w:proofErr w:type="spellEnd"/>
      <w:r w:rsidRPr="0074638E">
        <w:rPr>
          <w:rFonts w:ascii="Times New Roman" w:hAnsi="Times New Roman" w:cs="Times New Roman"/>
          <w:sz w:val="24"/>
          <w:szCs w:val="24"/>
        </w:rPr>
        <w:t xml:space="preserve"> kompetences novērtēšanu un patstāvīgās prakses uzraudzību būvprojektu un būvju ekspertīzes specialitātēs šādās darbības sfērās</w:t>
      </w:r>
      <w:r>
        <w:rPr>
          <w:rFonts w:ascii="Times New Roman" w:hAnsi="Times New Roman" w:cs="Times New Roman"/>
          <w:sz w:val="24"/>
          <w:szCs w:val="24"/>
        </w:rPr>
        <w:t xml:space="preserve"> (skat. 1.tabulu)</w:t>
      </w:r>
      <w:r w:rsidRPr="0074638E">
        <w:rPr>
          <w:rFonts w:ascii="Times New Roman" w:hAnsi="Times New Roman" w:cs="Times New Roman"/>
          <w:sz w:val="24"/>
          <w:szCs w:val="24"/>
        </w:rPr>
        <w:t>:</w:t>
      </w:r>
    </w:p>
    <w:p w14:paraId="01057981" w14:textId="77777777" w:rsidR="00F3163C" w:rsidRPr="0074638E" w:rsidRDefault="00F3163C" w:rsidP="00F3163C">
      <w:pPr>
        <w:pStyle w:val="ListParagraph"/>
        <w:ind w:left="567"/>
        <w:jc w:val="both"/>
        <w:rPr>
          <w:rFonts w:ascii="Times New Roman" w:hAnsi="Times New Roman" w:cs="Times New Roman"/>
          <w:sz w:val="24"/>
          <w:szCs w:val="24"/>
        </w:rPr>
      </w:pPr>
    </w:p>
    <w:p w14:paraId="552F5155" w14:textId="73B9E8A5" w:rsidR="00772B9B" w:rsidRPr="008D422C" w:rsidRDefault="005E5CF5" w:rsidP="008D422C">
      <w:pPr>
        <w:pStyle w:val="ListParagraph"/>
        <w:numPr>
          <w:ilvl w:val="0"/>
          <w:numId w:val="5"/>
        </w:numPr>
        <w:tabs>
          <w:tab w:val="left" w:pos="5685"/>
        </w:tabs>
        <w:jc w:val="right"/>
        <w:rPr>
          <w:rFonts w:ascii="Times New Roman" w:hAnsi="Times New Roman" w:cs="Times New Roman"/>
          <w:sz w:val="24"/>
          <w:szCs w:val="24"/>
        </w:rPr>
      </w:pPr>
      <w:r w:rsidRPr="008D422C">
        <w:rPr>
          <w:rFonts w:ascii="Times New Roman" w:hAnsi="Times New Roman" w:cs="Times New Roman"/>
          <w:sz w:val="24"/>
          <w:szCs w:val="24"/>
        </w:rPr>
        <w:t>tabula</w:t>
      </w:r>
    </w:p>
    <w:tbl>
      <w:tblPr>
        <w:tblStyle w:val="TableGrid"/>
        <w:tblW w:w="9101" w:type="dxa"/>
        <w:tblLayout w:type="fixed"/>
        <w:tblLook w:val="04A0" w:firstRow="1" w:lastRow="0" w:firstColumn="1" w:lastColumn="0" w:noHBand="0" w:noVBand="1"/>
      </w:tblPr>
      <w:tblGrid>
        <w:gridCol w:w="810"/>
        <w:gridCol w:w="3045"/>
        <w:gridCol w:w="5246"/>
      </w:tblGrid>
      <w:tr w:rsidR="00A76D4F" w14:paraId="48FB7AD7" w14:textId="77777777" w:rsidTr="00565963">
        <w:tc>
          <w:tcPr>
            <w:tcW w:w="810" w:type="dxa"/>
            <w:shd w:val="clear" w:color="auto" w:fill="D9D9D9" w:themeFill="background1" w:themeFillShade="D9"/>
          </w:tcPr>
          <w:p w14:paraId="1350200B" w14:textId="77777777" w:rsidR="00772B9B" w:rsidRPr="0074638E" w:rsidRDefault="005E5CF5" w:rsidP="00565963">
            <w:pPr>
              <w:pStyle w:val="NormalWeb"/>
              <w:spacing w:before="0" w:beforeAutospacing="0" w:after="0" w:afterAutospacing="0"/>
              <w:jc w:val="center"/>
              <w:rPr>
                <w:b/>
                <w:sz w:val="20"/>
                <w:szCs w:val="20"/>
              </w:rPr>
            </w:pPr>
            <w:proofErr w:type="spellStart"/>
            <w:r w:rsidRPr="0074638E">
              <w:rPr>
                <w:b/>
                <w:sz w:val="20"/>
                <w:szCs w:val="20"/>
              </w:rPr>
              <w:t>Nr.p.k</w:t>
            </w:r>
            <w:proofErr w:type="spellEnd"/>
          </w:p>
        </w:tc>
        <w:tc>
          <w:tcPr>
            <w:tcW w:w="3045" w:type="dxa"/>
            <w:shd w:val="clear" w:color="auto" w:fill="D9D9D9" w:themeFill="background1" w:themeFillShade="D9"/>
          </w:tcPr>
          <w:p w14:paraId="03EA0AA2" w14:textId="77777777" w:rsidR="00772B9B" w:rsidRPr="0074638E" w:rsidRDefault="005E5CF5" w:rsidP="00565963">
            <w:pPr>
              <w:pStyle w:val="NormalWeb"/>
              <w:spacing w:before="0" w:beforeAutospacing="0" w:after="0" w:afterAutospacing="0"/>
              <w:jc w:val="center"/>
              <w:rPr>
                <w:b/>
                <w:sz w:val="20"/>
                <w:szCs w:val="20"/>
              </w:rPr>
            </w:pPr>
            <w:r w:rsidRPr="0074638E">
              <w:rPr>
                <w:b/>
                <w:sz w:val="20"/>
                <w:szCs w:val="20"/>
              </w:rPr>
              <w:t>Darbības sfēra</w:t>
            </w:r>
          </w:p>
        </w:tc>
        <w:tc>
          <w:tcPr>
            <w:tcW w:w="5246" w:type="dxa"/>
            <w:shd w:val="clear" w:color="auto" w:fill="D9D9D9" w:themeFill="background1" w:themeFillShade="D9"/>
          </w:tcPr>
          <w:p w14:paraId="44A6AB03" w14:textId="77777777" w:rsidR="00772B9B" w:rsidRPr="0074638E" w:rsidRDefault="005E5CF5" w:rsidP="00565963">
            <w:pPr>
              <w:pStyle w:val="NormalWeb"/>
              <w:spacing w:before="0" w:beforeAutospacing="0" w:after="0" w:afterAutospacing="0"/>
              <w:jc w:val="center"/>
              <w:rPr>
                <w:b/>
                <w:sz w:val="20"/>
                <w:szCs w:val="20"/>
              </w:rPr>
            </w:pPr>
            <w:r w:rsidRPr="0074638E">
              <w:rPr>
                <w:b/>
                <w:sz w:val="20"/>
                <w:szCs w:val="20"/>
              </w:rPr>
              <w:t>Piezīmes</w:t>
            </w:r>
          </w:p>
        </w:tc>
      </w:tr>
      <w:tr w:rsidR="00A76D4F" w14:paraId="49CB986F" w14:textId="77777777" w:rsidTr="00565963">
        <w:tc>
          <w:tcPr>
            <w:tcW w:w="810" w:type="dxa"/>
            <w:shd w:val="clear" w:color="auto" w:fill="D9D9D9" w:themeFill="background1" w:themeFillShade="D9"/>
          </w:tcPr>
          <w:p w14:paraId="72A46165" w14:textId="77777777" w:rsidR="00772B9B" w:rsidRPr="0074638E" w:rsidRDefault="005E5CF5" w:rsidP="00565963">
            <w:pPr>
              <w:pStyle w:val="NormalWeb"/>
              <w:spacing w:before="0" w:beforeAutospacing="0" w:after="0" w:afterAutospacing="0"/>
              <w:jc w:val="center"/>
              <w:rPr>
                <w:b/>
                <w:sz w:val="20"/>
                <w:szCs w:val="20"/>
              </w:rPr>
            </w:pPr>
            <w:r w:rsidRPr="0074638E">
              <w:rPr>
                <w:b/>
                <w:sz w:val="20"/>
                <w:szCs w:val="20"/>
              </w:rPr>
              <w:t>1</w:t>
            </w:r>
          </w:p>
        </w:tc>
        <w:tc>
          <w:tcPr>
            <w:tcW w:w="3045" w:type="dxa"/>
            <w:shd w:val="clear" w:color="auto" w:fill="D9D9D9" w:themeFill="background1" w:themeFillShade="D9"/>
          </w:tcPr>
          <w:p w14:paraId="273950FC" w14:textId="77777777" w:rsidR="00772B9B" w:rsidRPr="0074638E" w:rsidRDefault="005E5CF5" w:rsidP="00565963">
            <w:pPr>
              <w:pStyle w:val="NormalWeb"/>
              <w:spacing w:before="0" w:beforeAutospacing="0" w:after="0" w:afterAutospacing="0"/>
              <w:jc w:val="center"/>
              <w:rPr>
                <w:b/>
                <w:sz w:val="20"/>
                <w:szCs w:val="20"/>
              </w:rPr>
            </w:pPr>
            <w:r w:rsidRPr="0074638E">
              <w:rPr>
                <w:b/>
                <w:sz w:val="20"/>
                <w:szCs w:val="20"/>
              </w:rPr>
              <w:t>2</w:t>
            </w:r>
          </w:p>
        </w:tc>
        <w:tc>
          <w:tcPr>
            <w:tcW w:w="5246" w:type="dxa"/>
            <w:shd w:val="clear" w:color="auto" w:fill="D9D9D9" w:themeFill="background1" w:themeFillShade="D9"/>
          </w:tcPr>
          <w:p w14:paraId="5CE49F99" w14:textId="77777777" w:rsidR="00772B9B" w:rsidRPr="0074638E" w:rsidRDefault="005E5CF5" w:rsidP="00565963">
            <w:pPr>
              <w:pStyle w:val="NormalWeb"/>
              <w:spacing w:before="0" w:beforeAutospacing="0" w:after="0" w:afterAutospacing="0"/>
              <w:jc w:val="center"/>
              <w:rPr>
                <w:b/>
                <w:sz w:val="20"/>
                <w:szCs w:val="20"/>
              </w:rPr>
            </w:pPr>
            <w:r w:rsidRPr="0074638E">
              <w:rPr>
                <w:b/>
                <w:sz w:val="20"/>
                <w:szCs w:val="20"/>
              </w:rPr>
              <w:t>3</w:t>
            </w:r>
          </w:p>
        </w:tc>
      </w:tr>
      <w:tr w:rsidR="00A76D4F" w14:paraId="3F2F16F2" w14:textId="77777777" w:rsidTr="00565963">
        <w:trPr>
          <w:trHeight w:val="1338"/>
        </w:trPr>
        <w:tc>
          <w:tcPr>
            <w:tcW w:w="810" w:type="dxa"/>
            <w:vAlign w:val="center"/>
          </w:tcPr>
          <w:p w14:paraId="22A3AAB9"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1</w:t>
            </w:r>
          </w:p>
        </w:tc>
        <w:tc>
          <w:tcPr>
            <w:tcW w:w="3045" w:type="dxa"/>
            <w:vAlign w:val="center"/>
          </w:tcPr>
          <w:p w14:paraId="7BD95139" w14:textId="77777777" w:rsidR="00772B9B" w:rsidRPr="00BD0129" w:rsidRDefault="005E5CF5" w:rsidP="00565963">
            <w:pPr>
              <w:pStyle w:val="NormalWeb"/>
              <w:spacing w:before="0" w:beforeAutospacing="0" w:after="0" w:afterAutospacing="0"/>
              <w:rPr>
                <w:sz w:val="18"/>
                <w:szCs w:val="18"/>
              </w:rPr>
            </w:pPr>
            <w:r w:rsidRPr="00BD0129">
              <w:rPr>
                <w:sz w:val="18"/>
                <w:szCs w:val="18"/>
                <w:shd w:val="clear" w:color="auto" w:fill="FFFFFF"/>
              </w:rPr>
              <w:t>Būvprojektu arhitektūras risinājumu ekspertīze</w:t>
            </w:r>
          </w:p>
        </w:tc>
        <w:tc>
          <w:tcPr>
            <w:tcW w:w="5246" w:type="dxa"/>
            <w:tcBorders>
              <w:bottom w:val="single" w:sz="4" w:space="0" w:color="auto"/>
            </w:tcBorders>
            <w:vAlign w:val="center"/>
          </w:tcPr>
          <w:p w14:paraId="5B0DE5A0" w14:textId="77777777" w:rsidR="00BC5414" w:rsidRPr="00C35CB0" w:rsidRDefault="005E5CF5" w:rsidP="00677826">
            <w:pPr>
              <w:pStyle w:val="NormalWeb"/>
              <w:spacing w:before="0" w:beforeAutospacing="0" w:after="0" w:afterAutospacing="0"/>
              <w:jc w:val="both"/>
              <w:rPr>
                <w:sz w:val="18"/>
                <w:szCs w:val="18"/>
                <w:shd w:val="clear" w:color="auto" w:fill="FFFFFF"/>
              </w:rPr>
            </w:pPr>
            <w:r w:rsidRPr="00BD0129">
              <w:rPr>
                <w:sz w:val="18"/>
                <w:szCs w:val="18"/>
                <w:shd w:val="clear" w:color="auto" w:fill="FFFFFF"/>
              </w:rPr>
              <w:t xml:space="preserve">Būvprojektu arhitektūras risinājumu ekspertīzē sertificētais </w:t>
            </w: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normatīvajos aktos noteiktajos gadījumos var veikt arī atsevišķu inženierbūvju būvprojektos iekļauto arhitektūras risinājumu un ugunsdrošības risinājumu ekspertīzi, kā arī būvniecības tāmju, ugunsdrošības risinājumu ekspertīzi, kā arī</w:t>
            </w:r>
            <w:r w:rsidR="00C35CB0">
              <w:rPr>
                <w:sz w:val="18"/>
                <w:szCs w:val="18"/>
                <w:shd w:val="clear" w:color="auto" w:fill="FFFFFF"/>
              </w:rPr>
              <w:t xml:space="preserve"> </w:t>
            </w:r>
            <w:r w:rsidRPr="00BD0129">
              <w:rPr>
                <w:sz w:val="18"/>
                <w:szCs w:val="18"/>
                <w:shd w:val="clear" w:color="auto" w:fill="FFFFFF"/>
              </w:rPr>
              <w:t>ugunsdrošības pasākumu pārskata un darbu organizēšanas projekta ekspertīzi.</w:t>
            </w:r>
          </w:p>
        </w:tc>
      </w:tr>
      <w:tr w:rsidR="00A76D4F" w14:paraId="19E0A5E9" w14:textId="77777777" w:rsidTr="00565963">
        <w:tc>
          <w:tcPr>
            <w:tcW w:w="810" w:type="dxa"/>
            <w:vMerge w:val="restart"/>
            <w:vAlign w:val="center"/>
          </w:tcPr>
          <w:p w14:paraId="0C902A5E"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w:t>
            </w:r>
          </w:p>
        </w:tc>
        <w:tc>
          <w:tcPr>
            <w:tcW w:w="3045" w:type="dxa"/>
            <w:vMerge w:val="restart"/>
            <w:tcBorders>
              <w:right w:val="single" w:sz="4" w:space="0" w:color="auto"/>
            </w:tcBorders>
            <w:vAlign w:val="center"/>
          </w:tcPr>
          <w:p w14:paraId="11B61392" w14:textId="77777777" w:rsidR="00772B9B" w:rsidRPr="00BD0129" w:rsidRDefault="005E5CF5" w:rsidP="00565963">
            <w:pPr>
              <w:pStyle w:val="NormalWeb"/>
              <w:spacing w:before="0" w:beforeAutospacing="0" w:after="0" w:afterAutospacing="0"/>
              <w:rPr>
                <w:sz w:val="18"/>
                <w:szCs w:val="18"/>
              </w:rPr>
            </w:pPr>
            <w:r w:rsidRPr="00BD0129">
              <w:rPr>
                <w:sz w:val="18"/>
                <w:szCs w:val="18"/>
                <w:shd w:val="clear" w:color="auto" w:fill="FFFFFF"/>
              </w:rPr>
              <w:t>Ēku konstrukciju būvprojektu ekspertīze</w:t>
            </w:r>
          </w:p>
        </w:tc>
        <w:tc>
          <w:tcPr>
            <w:tcW w:w="5246" w:type="dxa"/>
            <w:tcBorders>
              <w:top w:val="single" w:sz="4" w:space="0" w:color="auto"/>
              <w:left w:val="single" w:sz="4" w:space="0" w:color="auto"/>
              <w:bottom w:val="single" w:sz="4" w:space="0" w:color="auto"/>
              <w:right w:val="single" w:sz="4" w:space="0" w:color="auto"/>
            </w:tcBorders>
            <w:vAlign w:val="center"/>
          </w:tcPr>
          <w:p w14:paraId="11197D17" w14:textId="77777777" w:rsidR="00772B9B" w:rsidRPr="00BD0129" w:rsidRDefault="005E5CF5" w:rsidP="00565963">
            <w:pPr>
              <w:pStyle w:val="NormalWeb"/>
              <w:spacing w:before="0" w:beforeAutospacing="0" w:after="0" w:afterAutospacing="0"/>
              <w:jc w:val="both"/>
              <w:rPr>
                <w:sz w:val="18"/>
                <w:szCs w:val="18"/>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p>
        </w:tc>
      </w:tr>
      <w:tr w:rsidR="00A76D4F" w14:paraId="7FF31B73" w14:textId="77777777" w:rsidTr="00565963">
        <w:tc>
          <w:tcPr>
            <w:tcW w:w="810" w:type="dxa"/>
            <w:vMerge/>
            <w:vAlign w:val="center"/>
          </w:tcPr>
          <w:p w14:paraId="5A49AB38" w14:textId="77777777" w:rsidR="00772B9B" w:rsidRPr="00BD0129" w:rsidRDefault="00772B9B" w:rsidP="00565963">
            <w:pPr>
              <w:pStyle w:val="NormalWeb"/>
              <w:spacing w:before="0" w:beforeAutospacing="0" w:after="0" w:afterAutospacing="0"/>
              <w:jc w:val="center"/>
              <w:rPr>
                <w:sz w:val="18"/>
                <w:szCs w:val="18"/>
              </w:rPr>
            </w:pPr>
          </w:p>
        </w:tc>
        <w:tc>
          <w:tcPr>
            <w:tcW w:w="3045" w:type="dxa"/>
            <w:vMerge/>
            <w:tcBorders>
              <w:right w:val="single" w:sz="4" w:space="0" w:color="auto"/>
            </w:tcBorders>
            <w:vAlign w:val="center"/>
          </w:tcPr>
          <w:p w14:paraId="573A596F" w14:textId="77777777" w:rsidR="00772B9B" w:rsidRPr="00BD0129" w:rsidRDefault="00772B9B" w:rsidP="00565963">
            <w:pPr>
              <w:pStyle w:val="NormalWeb"/>
              <w:spacing w:before="0" w:beforeAutospacing="0" w:after="0" w:afterAutospacing="0"/>
              <w:rPr>
                <w:sz w:val="18"/>
                <w:szCs w:val="18"/>
                <w:shd w:val="clear" w:color="auto" w:fill="FFFFFF"/>
              </w:rPr>
            </w:pPr>
          </w:p>
        </w:tc>
        <w:tc>
          <w:tcPr>
            <w:tcW w:w="5246" w:type="dxa"/>
            <w:tcBorders>
              <w:top w:val="single" w:sz="4" w:space="0" w:color="auto"/>
              <w:left w:val="single" w:sz="4" w:space="0" w:color="auto"/>
              <w:bottom w:val="single" w:sz="4" w:space="0" w:color="auto"/>
              <w:right w:val="single" w:sz="4" w:space="0" w:color="auto"/>
            </w:tcBorders>
            <w:vAlign w:val="center"/>
          </w:tcPr>
          <w:p w14:paraId="50C3BB3E" w14:textId="3AB8D41D" w:rsidR="00677826" w:rsidRPr="00BD0129"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 xml:space="preserve">Būvprojektu konstrukciju ekspertīzē sertificētais </w:t>
            </w: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normatīvajos aktos noteiktajos gadījumos var veikt arī būvniecības tāmju, ugunsdrošības risinājumu ekspertīzi, kā arī ugunsdrošības pasākumu pārskata un darbu organizēšanas projekta ekspertīzi.</w:t>
            </w:r>
          </w:p>
        </w:tc>
      </w:tr>
      <w:tr w:rsidR="00A76D4F" w14:paraId="5D193841" w14:textId="77777777" w:rsidTr="00565963">
        <w:tc>
          <w:tcPr>
            <w:tcW w:w="810" w:type="dxa"/>
            <w:vAlign w:val="center"/>
          </w:tcPr>
          <w:p w14:paraId="2C711A7E"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3</w:t>
            </w:r>
          </w:p>
        </w:tc>
        <w:tc>
          <w:tcPr>
            <w:tcW w:w="3045" w:type="dxa"/>
            <w:tcBorders>
              <w:right w:val="single" w:sz="4" w:space="0" w:color="auto"/>
            </w:tcBorders>
            <w:vAlign w:val="center"/>
          </w:tcPr>
          <w:p w14:paraId="0A12163D" w14:textId="77777777" w:rsidR="00772B9B" w:rsidRPr="00BD0129" w:rsidRDefault="005E5CF5" w:rsidP="00565963">
            <w:pPr>
              <w:pStyle w:val="NormalWeb"/>
              <w:spacing w:before="0" w:beforeAutospacing="0" w:after="0" w:afterAutospacing="0"/>
              <w:rPr>
                <w:sz w:val="18"/>
                <w:szCs w:val="18"/>
              </w:rPr>
            </w:pPr>
            <w:r w:rsidRPr="00BD0129">
              <w:rPr>
                <w:sz w:val="18"/>
                <w:szCs w:val="18"/>
                <w:shd w:val="clear" w:color="auto" w:fill="FFFFFF"/>
              </w:rPr>
              <w:t>Ceļu būvprojektu ekspertīze</w:t>
            </w:r>
          </w:p>
        </w:tc>
        <w:tc>
          <w:tcPr>
            <w:tcW w:w="5246" w:type="dxa"/>
            <w:vMerge w:val="restart"/>
            <w:tcBorders>
              <w:top w:val="single" w:sz="4" w:space="0" w:color="auto"/>
              <w:left w:val="single" w:sz="4" w:space="0" w:color="auto"/>
              <w:bottom w:val="single" w:sz="4" w:space="0" w:color="auto"/>
              <w:right w:val="single" w:sz="4" w:space="0" w:color="auto"/>
            </w:tcBorders>
            <w:vAlign w:val="center"/>
          </w:tcPr>
          <w:p w14:paraId="72EBDA0E" w14:textId="77777777" w:rsidR="00772B9B" w:rsidRPr="00BD0129" w:rsidRDefault="005E5CF5" w:rsidP="00565963">
            <w:pPr>
              <w:pStyle w:val="NormalWeb"/>
              <w:spacing w:before="0" w:beforeAutospacing="0" w:after="0" w:afterAutospacing="0"/>
              <w:ind w:right="-210"/>
              <w:jc w:val="both"/>
              <w:rPr>
                <w:sz w:val="18"/>
                <w:szCs w:val="18"/>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p>
        </w:tc>
      </w:tr>
      <w:tr w:rsidR="00A76D4F" w14:paraId="3D3C2C97" w14:textId="77777777" w:rsidTr="00565963">
        <w:tc>
          <w:tcPr>
            <w:tcW w:w="810" w:type="dxa"/>
            <w:vAlign w:val="center"/>
          </w:tcPr>
          <w:p w14:paraId="2B90087B"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4</w:t>
            </w:r>
          </w:p>
        </w:tc>
        <w:tc>
          <w:tcPr>
            <w:tcW w:w="3045" w:type="dxa"/>
            <w:tcBorders>
              <w:right w:val="single" w:sz="4" w:space="0" w:color="auto"/>
            </w:tcBorders>
            <w:vAlign w:val="center"/>
          </w:tcPr>
          <w:p w14:paraId="4FA21B9E"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Tiltu būvprojektu ekspertīze</w:t>
            </w:r>
          </w:p>
        </w:tc>
        <w:tc>
          <w:tcPr>
            <w:tcW w:w="5246" w:type="dxa"/>
            <w:vMerge/>
            <w:tcBorders>
              <w:top w:val="single" w:sz="4" w:space="0" w:color="auto"/>
              <w:left w:val="single" w:sz="4" w:space="0" w:color="auto"/>
              <w:bottom w:val="single" w:sz="4" w:space="0" w:color="auto"/>
              <w:right w:val="single" w:sz="4" w:space="0" w:color="auto"/>
            </w:tcBorders>
            <w:vAlign w:val="center"/>
          </w:tcPr>
          <w:p w14:paraId="190A5A70" w14:textId="77777777" w:rsidR="00772B9B" w:rsidRPr="00BD0129" w:rsidRDefault="00772B9B" w:rsidP="00565963">
            <w:pPr>
              <w:pStyle w:val="NormalWeb"/>
              <w:spacing w:before="0" w:beforeAutospacing="0" w:after="0" w:afterAutospacing="0"/>
              <w:jc w:val="both"/>
              <w:rPr>
                <w:sz w:val="18"/>
                <w:szCs w:val="18"/>
              </w:rPr>
            </w:pPr>
          </w:p>
        </w:tc>
      </w:tr>
      <w:tr w:rsidR="00A76D4F" w14:paraId="14173A3E" w14:textId="77777777" w:rsidTr="00565963">
        <w:tc>
          <w:tcPr>
            <w:tcW w:w="810" w:type="dxa"/>
            <w:vAlign w:val="center"/>
          </w:tcPr>
          <w:p w14:paraId="488775A5"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5</w:t>
            </w:r>
          </w:p>
        </w:tc>
        <w:tc>
          <w:tcPr>
            <w:tcW w:w="3045" w:type="dxa"/>
            <w:tcBorders>
              <w:right w:val="single" w:sz="4" w:space="0" w:color="auto"/>
            </w:tcBorders>
            <w:vAlign w:val="center"/>
          </w:tcPr>
          <w:p w14:paraId="0FB91E26"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Ūdensapgādes un kanalizācijas sistēmu būvprojektu ekspertīze, ieskaitot ugunsdzēsības sistēmas</w:t>
            </w:r>
          </w:p>
        </w:tc>
        <w:tc>
          <w:tcPr>
            <w:tcW w:w="5246" w:type="dxa"/>
            <w:vMerge/>
            <w:tcBorders>
              <w:top w:val="single" w:sz="4" w:space="0" w:color="auto"/>
              <w:left w:val="single" w:sz="4" w:space="0" w:color="auto"/>
              <w:bottom w:val="single" w:sz="4" w:space="0" w:color="auto"/>
              <w:right w:val="single" w:sz="4" w:space="0" w:color="auto"/>
            </w:tcBorders>
            <w:vAlign w:val="center"/>
          </w:tcPr>
          <w:p w14:paraId="4BC65E29" w14:textId="77777777" w:rsidR="00772B9B" w:rsidRPr="00BD0129" w:rsidRDefault="00772B9B" w:rsidP="00565963">
            <w:pPr>
              <w:pStyle w:val="NormalWeb"/>
              <w:spacing w:before="0" w:beforeAutospacing="0" w:after="0" w:afterAutospacing="0"/>
              <w:jc w:val="both"/>
              <w:rPr>
                <w:sz w:val="18"/>
                <w:szCs w:val="18"/>
              </w:rPr>
            </w:pPr>
          </w:p>
        </w:tc>
      </w:tr>
      <w:tr w:rsidR="00A76D4F" w14:paraId="5AD26315" w14:textId="77777777" w:rsidTr="00565963">
        <w:tc>
          <w:tcPr>
            <w:tcW w:w="810" w:type="dxa"/>
            <w:vMerge w:val="restart"/>
            <w:vAlign w:val="center"/>
          </w:tcPr>
          <w:p w14:paraId="5A220CDA"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6</w:t>
            </w:r>
          </w:p>
        </w:tc>
        <w:tc>
          <w:tcPr>
            <w:tcW w:w="3045" w:type="dxa"/>
            <w:vMerge w:val="restart"/>
            <w:vAlign w:val="center"/>
          </w:tcPr>
          <w:p w14:paraId="6753E71A" w14:textId="5416B9E5"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Siltumapgādes, ventilācijas un gaisa kondicionēšanas sistēmu būvprojektu ekspertīze</w:t>
            </w:r>
          </w:p>
        </w:tc>
        <w:tc>
          <w:tcPr>
            <w:tcW w:w="5246" w:type="dxa"/>
            <w:tcBorders>
              <w:top w:val="single" w:sz="4" w:space="0" w:color="auto"/>
              <w:right w:val="single" w:sz="4" w:space="0" w:color="auto"/>
            </w:tcBorders>
            <w:vAlign w:val="center"/>
          </w:tcPr>
          <w:p w14:paraId="18D5BD78" w14:textId="77777777" w:rsidR="00E87A09" w:rsidRPr="00BD0129"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 xml:space="preserve">Apkures sistēmas, ventilācijas sistēmas, gaisa kondicionēšanas sistēmas, ēku dzesēšanas sistēmas, dūmu aizsardzības, dūmu un karstuma izvades sistēmas, </w:t>
            </w:r>
            <w:proofErr w:type="spellStart"/>
            <w:r w:rsidRPr="00BD0129">
              <w:rPr>
                <w:sz w:val="18"/>
                <w:szCs w:val="18"/>
                <w:shd w:val="clear" w:color="auto" w:fill="FFFFFF"/>
              </w:rPr>
              <w:t>siltummehānika</w:t>
            </w:r>
            <w:proofErr w:type="spellEnd"/>
            <w:r w:rsidRPr="00BD0129">
              <w:rPr>
                <w:sz w:val="18"/>
                <w:szCs w:val="18"/>
                <w:shd w:val="clear" w:color="auto" w:fill="FFFFFF"/>
              </w:rPr>
              <w:t xml:space="preserve">/siltumapgādes avoti (tajā skaitā biomasas apkures sistēmas, saules kolektoru sistēmas, ģeotermiskās sistēmas un </w:t>
            </w:r>
            <w:proofErr w:type="spellStart"/>
            <w:r w:rsidRPr="00BD0129">
              <w:rPr>
                <w:sz w:val="18"/>
                <w:szCs w:val="18"/>
                <w:shd w:val="clear" w:color="auto" w:fill="FFFFFF"/>
              </w:rPr>
              <w:t>siltumsūkņi</w:t>
            </w:r>
            <w:proofErr w:type="spellEnd"/>
            <w:r w:rsidRPr="00BD0129">
              <w:rPr>
                <w:sz w:val="18"/>
                <w:szCs w:val="18"/>
                <w:shd w:val="clear" w:color="auto" w:fill="FFFFFF"/>
              </w:rPr>
              <w:t>), siltumtīkli.</w:t>
            </w:r>
          </w:p>
        </w:tc>
      </w:tr>
      <w:tr w:rsidR="00A76D4F" w14:paraId="71191EA2" w14:textId="77777777" w:rsidTr="00565963">
        <w:tc>
          <w:tcPr>
            <w:tcW w:w="810" w:type="dxa"/>
            <w:vMerge/>
          </w:tcPr>
          <w:p w14:paraId="54300933" w14:textId="77777777" w:rsidR="00772B9B" w:rsidRPr="00BD0129" w:rsidRDefault="00772B9B" w:rsidP="00565963">
            <w:pPr>
              <w:pStyle w:val="NormalWeb"/>
              <w:spacing w:before="0" w:beforeAutospacing="0" w:after="0" w:afterAutospacing="0"/>
              <w:jc w:val="right"/>
              <w:rPr>
                <w:sz w:val="18"/>
                <w:szCs w:val="18"/>
              </w:rPr>
            </w:pPr>
          </w:p>
        </w:tc>
        <w:tc>
          <w:tcPr>
            <w:tcW w:w="3045" w:type="dxa"/>
            <w:vMerge/>
          </w:tcPr>
          <w:p w14:paraId="51DDCAEF" w14:textId="77777777" w:rsidR="00772B9B" w:rsidRPr="00BD0129" w:rsidRDefault="00772B9B" w:rsidP="00565963">
            <w:pPr>
              <w:jc w:val="both"/>
              <w:rPr>
                <w:rFonts w:ascii="Times New Roman" w:hAnsi="Times New Roman" w:cs="Times New Roman"/>
                <w:sz w:val="18"/>
                <w:szCs w:val="18"/>
              </w:rPr>
            </w:pPr>
          </w:p>
        </w:tc>
        <w:tc>
          <w:tcPr>
            <w:tcW w:w="5246" w:type="dxa"/>
            <w:vAlign w:val="center"/>
          </w:tcPr>
          <w:p w14:paraId="44BF11C2" w14:textId="77777777" w:rsidR="00772B9B" w:rsidRPr="00BD0129"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p>
        </w:tc>
      </w:tr>
      <w:tr w:rsidR="00A76D4F" w14:paraId="3E8695CA" w14:textId="77777777" w:rsidTr="00565963">
        <w:tc>
          <w:tcPr>
            <w:tcW w:w="810" w:type="dxa"/>
            <w:vMerge w:val="restart"/>
            <w:vAlign w:val="center"/>
          </w:tcPr>
          <w:p w14:paraId="6BB920EA"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7</w:t>
            </w:r>
          </w:p>
        </w:tc>
        <w:tc>
          <w:tcPr>
            <w:tcW w:w="3045" w:type="dxa"/>
            <w:vMerge w:val="restart"/>
            <w:vAlign w:val="center"/>
          </w:tcPr>
          <w:p w14:paraId="383098C9" w14:textId="77777777" w:rsidR="00772B9B" w:rsidRPr="00BD0129" w:rsidRDefault="005E5CF5" w:rsidP="00565963">
            <w:pPr>
              <w:jc w:val="both"/>
              <w:rPr>
                <w:rFonts w:ascii="Times New Roman" w:hAnsi="Times New Roman" w:cs="Times New Roman"/>
                <w:sz w:val="18"/>
                <w:szCs w:val="18"/>
              </w:rPr>
            </w:pPr>
            <w:r w:rsidRPr="00BD0129">
              <w:rPr>
                <w:rFonts w:ascii="Times New Roman" w:hAnsi="Times New Roman" w:cs="Times New Roman"/>
                <w:sz w:val="18"/>
                <w:szCs w:val="18"/>
              </w:rPr>
              <w:t>Saldēšanas sistēmu būvprojektu ekspertīze</w:t>
            </w:r>
          </w:p>
        </w:tc>
        <w:tc>
          <w:tcPr>
            <w:tcW w:w="5246" w:type="dxa"/>
            <w:vAlign w:val="center"/>
          </w:tcPr>
          <w:p w14:paraId="3B622086" w14:textId="77777777" w:rsidR="00E87A09" w:rsidRPr="00BD0129"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Sistēmas, kas nodrošina zemu temperatūru tehnoloģiskos procesus pārtikas, medicīnas, ķīmiskajā rūpniecībā, lauksaimniecības, zivsaimniecības un pārtikas produktu ražošanā, uzglabāšanā (tai skaitā visu lielumu stacionārās un pārvietojamās saldēšanas sistēmas, ieskaitot kompresorus-</w:t>
            </w:r>
            <w:proofErr w:type="spellStart"/>
            <w:r w:rsidRPr="00BD0129">
              <w:rPr>
                <w:sz w:val="18"/>
                <w:szCs w:val="18"/>
                <w:shd w:val="clear" w:color="auto" w:fill="FFFFFF"/>
              </w:rPr>
              <w:t>siltumsūkņus</w:t>
            </w:r>
            <w:proofErr w:type="spellEnd"/>
            <w:r w:rsidRPr="00BD0129">
              <w:rPr>
                <w:sz w:val="18"/>
                <w:szCs w:val="18"/>
                <w:shd w:val="clear" w:color="auto" w:fill="FFFFFF"/>
              </w:rPr>
              <w:t>, kompresoru stacijas saldēšanas sistēmās, saldēšanas kameras, noliktavas un saldētavas.</w:t>
            </w:r>
          </w:p>
        </w:tc>
      </w:tr>
      <w:tr w:rsidR="00A76D4F" w14:paraId="5D97C725" w14:textId="77777777" w:rsidTr="00565963">
        <w:tc>
          <w:tcPr>
            <w:tcW w:w="810" w:type="dxa"/>
            <w:vMerge/>
            <w:vAlign w:val="center"/>
          </w:tcPr>
          <w:p w14:paraId="4C2D2971" w14:textId="77777777" w:rsidR="00772B9B" w:rsidRPr="00BD0129" w:rsidRDefault="00772B9B" w:rsidP="00565963">
            <w:pPr>
              <w:pStyle w:val="NormalWeb"/>
              <w:spacing w:before="0" w:beforeAutospacing="0" w:after="0" w:afterAutospacing="0"/>
              <w:jc w:val="center"/>
              <w:rPr>
                <w:sz w:val="18"/>
                <w:szCs w:val="18"/>
              </w:rPr>
            </w:pPr>
          </w:p>
        </w:tc>
        <w:tc>
          <w:tcPr>
            <w:tcW w:w="3045" w:type="dxa"/>
            <w:vMerge/>
            <w:vAlign w:val="center"/>
          </w:tcPr>
          <w:p w14:paraId="7B9BC3B1" w14:textId="77777777" w:rsidR="00772B9B" w:rsidRPr="00BD0129" w:rsidRDefault="00772B9B" w:rsidP="00565963">
            <w:pPr>
              <w:jc w:val="both"/>
              <w:rPr>
                <w:rFonts w:ascii="Times New Roman" w:hAnsi="Times New Roman" w:cs="Times New Roman"/>
                <w:sz w:val="18"/>
                <w:szCs w:val="18"/>
              </w:rPr>
            </w:pPr>
          </w:p>
        </w:tc>
        <w:tc>
          <w:tcPr>
            <w:tcW w:w="5246" w:type="dxa"/>
            <w:vAlign w:val="center"/>
          </w:tcPr>
          <w:p w14:paraId="21AF4FDE" w14:textId="77777777" w:rsidR="00772B9B" w:rsidRPr="00BD0129"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p>
        </w:tc>
      </w:tr>
      <w:tr w:rsidR="00A76D4F" w14:paraId="31FB87D4" w14:textId="77777777" w:rsidTr="00565963">
        <w:tc>
          <w:tcPr>
            <w:tcW w:w="810" w:type="dxa"/>
            <w:vMerge w:val="restart"/>
            <w:vAlign w:val="center"/>
          </w:tcPr>
          <w:p w14:paraId="22BFCBEE"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8</w:t>
            </w:r>
          </w:p>
        </w:tc>
        <w:tc>
          <w:tcPr>
            <w:tcW w:w="3045" w:type="dxa"/>
            <w:vMerge w:val="restart"/>
            <w:vAlign w:val="center"/>
          </w:tcPr>
          <w:p w14:paraId="32FF3C1C" w14:textId="77777777" w:rsidR="00772B9B" w:rsidRPr="00BD0129" w:rsidRDefault="005E5CF5" w:rsidP="00565963">
            <w:pPr>
              <w:jc w:val="both"/>
              <w:rPr>
                <w:rFonts w:ascii="Times New Roman" w:hAnsi="Times New Roman" w:cs="Times New Roman"/>
                <w:sz w:val="18"/>
                <w:szCs w:val="18"/>
              </w:rPr>
            </w:pPr>
            <w:r w:rsidRPr="00BD0129">
              <w:rPr>
                <w:rFonts w:ascii="Times New Roman" w:hAnsi="Times New Roman" w:cs="Times New Roman"/>
                <w:sz w:val="18"/>
                <w:szCs w:val="18"/>
              </w:rPr>
              <w:t>Sadales un lietotāju gāzes apgādes sistēmu būvprojektu ekspertīze</w:t>
            </w:r>
          </w:p>
        </w:tc>
        <w:tc>
          <w:tcPr>
            <w:tcW w:w="5246" w:type="dxa"/>
            <w:vAlign w:val="center"/>
          </w:tcPr>
          <w:p w14:paraId="04B1BF10" w14:textId="77777777" w:rsidR="00E40D10" w:rsidRPr="00BD0129"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Gāzes transportēšanas, sadales un lietotāja gāzes apgādes sistēmas ar spiedienu līdz 1,6 </w:t>
            </w:r>
            <w:proofErr w:type="spellStart"/>
            <w:r w:rsidRPr="00BD0129">
              <w:rPr>
                <w:sz w:val="18"/>
                <w:szCs w:val="18"/>
                <w:shd w:val="clear" w:color="auto" w:fill="FFFFFF"/>
              </w:rPr>
              <w:t>MPa</w:t>
            </w:r>
            <w:proofErr w:type="spellEnd"/>
            <w:r w:rsidRPr="00BD0129">
              <w:rPr>
                <w:sz w:val="18"/>
                <w:szCs w:val="18"/>
                <w:shd w:val="clear" w:color="auto" w:fill="FFFFFF"/>
              </w:rPr>
              <w:t xml:space="preserve"> (16 bar).</w:t>
            </w:r>
          </w:p>
        </w:tc>
      </w:tr>
      <w:tr w:rsidR="00A76D4F" w14:paraId="38A81BF0" w14:textId="77777777" w:rsidTr="00565963">
        <w:tc>
          <w:tcPr>
            <w:tcW w:w="810" w:type="dxa"/>
            <w:vMerge/>
            <w:vAlign w:val="center"/>
          </w:tcPr>
          <w:p w14:paraId="1996A0A4" w14:textId="77777777" w:rsidR="00772B9B" w:rsidRPr="00BD0129" w:rsidRDefault="00772B9B" w:rsidP="00565963">
            <w:pPr>
              <w:pStyle w:val="NormalWeb"/>
              <w:spacing w:before="0" w:beforeAutospacing="0" w:after="0" w:afterAutospacing="0"/>
              <w:jc w:val="center"/>
              <w:rPr>
                <w:sz w:val="18"/>
                <w:szCs w:val="18"/>
              </w:rPr>
            </w:pPr>
          </w:p>
        </w:tc>
        <w:tc>
          <w:tcPr>
            <w:tcW w:w="3045" w:type="dxa"/>
            <w:vMerge/>
            <w:vAlign w:val="center"/>
          </w:tcPr>
          <w:p w14:paraId="429D7823" w14:textId="77777777" w:rsidR="00772B9B" w:rsidRPr="00BD0129" w:rsidRDefault="00772B9B" w:rsidP="00565963">
            <w:pPr>
              <w:jc w:val="both"/>
              <w:rPr>
                <w:rFonts w:ascii="Times New Roman" w:hAnsi="Times New Roman" w:cs="Times New Roman"/>
                <w:sz w:val="18"/>
                <w:szCs w:val="18"/>
              </w:rPr>
            </w:pPr>
          </w:p>
        </w:tc>
        <w:tc>
          <w:tcPr>
            <w:tcW w:w="5246" w:type="dxa"/>
            <w:vAlign w:val="center"/>
          </w:tcPr>
          <w:p w14:paraId="2E16B846" w14:textId="77777777" w:rsidR="00772B9B" w:rsidRPr="00BD0129"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p>
        </w:tc>
      </w:tr>
      <w:tr w:rsidR="00A76D4F" w14:paraId="61AE9BFA" w14:textId="77777777" w:rsidTr="00565963">
        <w:tc>
          <w:tcPr>
            <w:tcW w:w="810" w:type="dxa"/>
            <w:vMerge w:val="restart"/>
            <w:vAlign w:val="center"/>
          </w:tcPr>
          <w:p w14:paraId="24449D1B"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lastRenderedPageBreak/>
              <w:t>9</w:t>
            </w:r>
          </w:p>
        </w:tc>
        <w:tc>
          <w:tcPr>
            <w:tcW w:w="3045" w:type="dxa"/>
            <w:vMerge w:val="restart"/>
            <w:vAlign w:val="center"/>
          </w:tcPr>
          <w:p w14:paraId="774BE341" w14:textId="77777777" w:rsidR="00772B9B" w:rsidRPr="00BD0129" w:rsidRDefault="005E5CF5" w:rsidP="00565963">
            <w:pPr>
              <w:jc w:val="both"/>
              <w:rPr>
                <w:rFonts w:ascii="Times New Roman" w:hAnsi="Times New Roman" w:cs="Times New Roman"/>
                <w:sz w:val="18"/>
                <w:szCs w:val="18"/>
              </w:rPr>
            </w:pPr>
            <w:r w:rsidRPr="00BD0129">
              <w:rPr>
                <w:rFonts w:ascii="Times New Roman" w:hAnsi="Times New Roman" w:cs="Times New Roman"/>
                <w:sz w:val="18"/>
                <w:szCs w:val="18"/>
              </w:rPr>
              <w:t>Pārvades gāzes un naftas apgādes sistēmu būvprojektu ekspertīze</w:t>
            </w:r>
          </w:p>
        </w:tc>
        <w:tc>
          <w:tcPr>
            <w:tcW w:w="5246" w:type="dxa"/>
            <w:vAlign w:val="center"/>
          </w:tcPr>
          <w:p w14:paraId="355A3BA3" w14:textId="77777777" w:rsidR="00E40D10" w:rsidRPr="00BD0129"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Gāzes un naftas transportēšanas un glabāšanas sistēmas ar spiedienu, augstāku par 1,6 </w:t>
            </w:r>
            <w:proofErr w:type="spellStart"/>
            <w:r w:rsidRPr="00BD0129">
              <w:rPr>
                <w:sz w:val="18"/>
                <w:szCs w:val="18"/>
                <w:shd w:val="clear" w:color="auto" w:fill="FFFFFF"/>
              </w:rPr>
              <w:t>MPa</w:t>
            </w:r>
            <w:proofErr w:type="spellEnd"/>
            <w:r w:rsidRPr="00BD0129">
              <w:rPr>
                <w:sz w:val="18"/>
                <w:szCs w:val="18"/>
                <w:shd w:val="clear" w:color="auto" w:fill="FFFFFF"/>
              </w:rPr>
              <w:t xml:space="preserve"> (16 bar).</w:t>
            </w:r>
          </w:p>
        </w:tc>
      </w:tr>
      <w:tr w:rsidR="00A76D4F" w14:paraId="4151E4B8" w14:textId="77777777" w:rsidTr="00565963">
        <w:tc>
          <w:tcPr>
            <w:tcW w:w="810" w:type="dxa"/>
            <w:vMerge/>
            <w:vAlign w:val="center"/>
          </w:tcPr>
          <w:p w14:paraId="02A2B5C4" w14:textId="77777777" w:rsidR="00772B9B" w:rsidRPr="00BD0129" w:rsidRDefault="00772B9B" w:rsidP="00565963">
            <w:pPr>
              <w:pStyle w:val="NormalWeb"/>
              <w:spacing w:before="0" w:beforeAutospacing="0" w:after="0" w:afterAutospacing="0"/>
              <w:jc w:val="center"/>
              <w:rPr>
                <w:sz w:val="18"/>
                <w:szCs w:val="18"/>
              </w:rPr>
            </w:pPr>
          </w:p>
        </w:tc>
        <w:tc>
          <w:tcPr>
            <w:tcW w:w="3045" w:type="dxa"/>
            <w:vMerge/>
            <w:vAlign w:val="center"/>
          </w:tcPr>
          <w:p w14:paraId="3723E1EB" w14:textId="77777777" w:rsidR="00772B9B" w:rsidRPr="00BD0129" w:rsidRDefault="00772B9B" w:rsidP="00565963">
            <w:pPr>
              <w:jc w:val="both"/>
              <w:rPr>
                <w:rFonts w:ascii="Times New Roman" w:hAnsi="Times New Roman" w:cs="Times New Roman"/>
                <w:sz w:val="18"/>
                <w:szCs w:val="18"/>
              </w:rPr>
            </w:pPr>
          </w:p>
        </w:tc>
        <w:tc>
          <w:tcPr>
            <w:tcW w:w="5246" w:type="dxa"/>
            <w:vAlign w:val="center"/>
          </w:tcPr>
          <w:p w14:paraId="769EB34F" w14:textId="77777777" w:rsidR="00772B9B" w:rsidRPr="00BD0129"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p>
        </w:tc>
      </w:tr>
      <w:tr w:rsidR="00A76D4F" w14:paraId="1E9D5804" w14:textId="77777777" w:rsidTr="00565963">
        <w:tc>
          <w:tcPr>
            <w:tcW w:w="810" w:type="dxa"/>
            <w:vAlign w:val="center"/>
          </w:tcPr>
          <w:p w14:paraId="7DC04CF8"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10</w:t>
            </w:r>
          </w:p>
        </w:tc>
        <w:tc>
          <w:tcPr>
            <w:tcW w:w="3045" w:type="dxa"/>
            <w:vAlign w:val="center"/>
          </w:tcPr>
          <w:p w14:paraId="5555B609" w14:textId="77777777" w:rsidR="00772B9B" w:rsidRPr="00BD0129" w:rsidRDefault="005E5CF5" w:rsidP="00565963">
            <w:pPr>
              <w:jc w:val="both"/>
              <w:rPr>
                <w:rFonts w:ascii="Times New Roman" w:hAnsi="Times New Roman" w:cs="Times New Roman"/>
                <w:sz w:val="18"/>
                <w:szCs w:val="18"/>
              </w:rPr>
            </w:pPr>
            <w:r w:rsidRPr="00BD0129">
              <w:rPr>
                <w:rFonts w:ascii="Times New Roman" w:hAnsi="Times New Roman" w:cs="Times New Roman"/>
                <w:sz w:val="18"/>
                <w:szCs w:val="18"/>
                <w:shd w:val="clear" w:color="auto" w:fill="FFFFFF"/>
              </w:rPr>
              <w:t>Meliorācijas sistēmu būvprojektu ekspertīze</w:t>
            </w:r>
          </w:p>
        </w:tc>
        <w:tc>
          <w:tcPr>
            <w:tcW w:w="5246" w:type="dxa"/>
            <w:vAlign w:val="center"/>
          </w:tcPr>
          <w:p w14:paraId="54355F7E" w14:textId="77777777" w:rsidR="00772B9B" w:rsidRPr="00BD0129"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p>
        </w:tc>
      </w:tr>
      <w:tr w:rsidR="00A76D4F" w14:paraId="0402C9F8" w14:textId="77777777" w:rsidTr="00C17E4B">
        <w:tc>
          <w:tcPr>
            <w:tcW w:w="810" w:type="dxa"/>
            <w:vAlign w:val="center"/>
          </w:tcPr>
          <w:p w14:paraId="154652DE"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11</w:t>
            </w:r>
          </w:p>
        </w:tc>
        <w:tc>
          <w:tcPr>
            <w:tcW w:w="3045" w:type="dxa"/>
            <w:vAlign w:val="center"/>
          </w:tcPr>
          <w:p w14:paraId="45E5D814" w14:textId="77777777" w:rsidR="00772B9B" w:rsidRPr="00BD0129" w:rsidRDefault="005E5CF5" w:rsidP="00565963">
            <w:pPr>
              <w:jc w:val="both"/>
              <w:rPr>
                <w:rFonts w:ascii="Times New Roman" w:hAnsi="Times New Roman" w:cs="Times New Roman"/>
                <w:sz w:val="18"/>
                <w:szCs w:val="18"/>
                <w:shd w:val="clear" w:color="auto" w:fill="FFFFFF"/>
              </w:rPr>
            </w:pPr>
            <w:r w:rsidRPr="00BD0129">
              <w:rPr>
                <w:rFonts w:ascii="Times New Roman" w:hAnsi="Times New Roman" w:cs="Times New Roman"/>
                <w:sz w:val="18"/>
                <w:szCs w:val="18"/>
              </w:rPr>
              <w:t>Hidrotehnisko būvju būvprojektu ekspertīze</w:t>
            </w:r>
          </w:p>
        </w:tc>
        <w:tc>
          <w:tcPr>
            <w:tcW w:w="5246" w:type="dxa"/>
            <w:shd w:val="clear" w:color="auto" w:fill="auto"/>
            <w:vAlign w:val="center"/>
          </w:tcPr>
          <w:p w14:paraId="1D9F5168" w14:textId="77777777" w:rsidR="00772B9B" w:rsidRPr="00B91356" w:rsidRDefault="005E5CF5" w:rsidP="00565963">
            <w:pPr>
              <w:pStyle w:val="NormalWeb"/>
              <w:spacing w:before="0" w:beforeAutospacing="0" w:after="0" w:afterAutospacing="0"/>
              <w:jc w:val="both"/>
              <w:rPr>
                <w:sz w:val="18"/>
                <w:szCs w:val="18"/>
                <w:shd w:val="clear" w:color="auto" w:fill="FFFFFF"/>
              </w:rPr>
            </w:pPr>
            <w:proofErr w:type="spellStart"/>
            <w:r w:rsidRPr="00137475">
              <w:rPr>
                <w:sz w:val="18"/>
                <w:szCs w:val="18"/>
                <w:shd w:val="clear" w:color="auto" w:fill="FFFFFF"/>
              </w:rPr>
              <w:t>Būvspeciālists</w:t>
            </w:r>
            <w:proofErr w:type="spellEnd"/>
            <w:r w:rsidRPr="00137475">
              <w:rPr>
                <w:sz w:val="18"/>
                <w:szCs w:val="18"/>
                <w:shd w:val="clear" w:color="auto" w:fill="FFFFFF"/>
              </w:rPr>
              <w:t xml:space="preserve"> var veikt </w:t>
            </w:r>
            <w:r w:rsidR="00C17E4B">
              <w:rPr>
                <w:sz w:val="18"/>
                <w:szCs w:val="18"/>
                <w:shd w:val="clear" w:color="auto" w:fill="FFFFFF"/>
              </w:rPr>
              <w:t xml:space="preserve">arī </w:t>
            </w:r>
            <w:r w:rsidRPr="00137475">
              <w:rPr>
                <w:sz w:val="18"/>
                <w:szCs w:val="18"/>
                <w:shd w:val="clear" w:color="auto" w:fill="FFFFFF"/>
              </w:rPr>
              <w:t>atbilstošo būvju ekspertīzi.</w:t>
            </w:r>
          </w:p>
        </w:tc>
      </w:tr>
      <w:tr w:rsidR="00A76D4F" w14:paraId="665CEAA0" w14:textId="77777777" w:rsidTr="00C17E4B">
        <w:tc>
          <w:tcPr>
            <w:tcW w:w="810" w:type="dxa"/>
            <w:vAlign w:val="center"/>
          </w:tcPr>
          <w:p w14:paraId="7A0AD1A2"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12</w:t>
            </w:r>
          </w:p>
        </w:tc>
        <w:tc>
          <w:tcPr>
            <w:tcW w:w="3045" w:type="dxa"/>
            <w:vAlign w:val="center"/>
          </w:tcPr>
          <w:p w14:paraId="0C1929F1" w14:textId="77777777" w:rsidR="00772B9B" w:rsidRPr="00BD0129" w:rsidRDefault="005E5CF5" w:rsidP="00565963">
            <w:pPr>
              <w:jc w:val="both"/>
              <w:rPr>
                <w:rFonts w:ascii="Times New Roman" w:hAnsi="Times New Roman" w:cs="Times New Roman"/>
                <w:sz w:val="18"/>
                <w:szCs w:val="18"/>
              </w:rPr>
            </w:pPr>
            <w:r w:rsidRPr="00BD0129">
              <w:rPr>
                <w:rFonts w:ascii="Times New Roman" w:hAnsi="Times New Roman" w:cs="Times New Roman"/>
                <w:sz w:val="18"/>
                <w:szCs w:val="18"/>
              </w:rPr>
              <w:t>Ostu un jūras hidrotehnisko būvju būvprojektu ekspertīze</w:t>
            </w:r>
          </w:p>
        </w:tc>
        <w:tc>
          <w:tcPr>
            <w:tcW w:w="5246" w:type="dxa"/>
            <w:shd w:val="clear" w:color="auto" w:fill="auto"/>
            <w:vAlign w:val="center"/>
          </w:tcPr>
          <w:p w14:paraId="3C6AC038" w14:textId="77777777" w:rsidR="00772B9B" w:rsidRPr="00B91356" w:rsidRDefault="005E5CF5" w:rsidP="00565963">
            <w:pPr>
              <w:pStyle w:val="NormalWeb"/>
              <w:spacing w:before="0" w:beforeAutospacing="0" w:after="0" w:afterAutospacing="0"/>
              <w:jc w:val="both"/>
              <w:rPr>
                <w:sz w:val="18"/>
                <w:szCs w:val="18"/>
                <w:shd w:val="clear" w:color="auto" w:fill="FFFFFF"/>
              </w:rPr>
            </w:pPr>
            <w:proofErr w:type="spellStart"/>
            <w:r w:rsidRPr="00137475">
              <w:rPr>
                <w:sz w:val="18"/>
                <w:szCs w:val="18"/>
                <w:shd w:val="clear" w:color="auto" w:fill="FFFFFF"/>
              </w:rPr>
              <w:t>Būvspeciālists</w:t>
            </w:r>
            <w:proofErr w:type="spellEnd"/>
            <w:r w:rsidRPr="00137475">
              <w:rPr>
                <w:sz w:val="18"/>
                <w:szCs w:val="18"/>
                <w:shd w:val="clear" w:color="auto" w:fill="FFFFFF"/>
              </w:rPr>
              <w:t xml:space="preserve"> var veikt </w:t>
            </w:r>
            <w:r w:rsidR="00C17E4B">
              <w:rPr>
                <w:sz w:val="18"/>
                <w:szCs w:val="18"/>
                <w:shd w:val="clear" w:color="auto" w:fill="FFFFFF"/>
              </w:rPr>
              <w:t xml:space="preserve">arī </w:t>
            </w:r>
            <w:r w:rsidRPr="00137475">
              <w:rPr>
                <w:sz w:val="18"/>
                <w:szCs w:val="18"/>
                <w:shd w:val="clear" w:color="auto" w:fill="FFFFFF"/>
              </w:rPr>
              <w:t>atbilstošo būvju ekspertīzi.</w:t>
            </w:r>
          </w:p>
        </w:tc>
      </w:tr>
      <w:tr w:rsidR="00A76D4F" w14:paraId="1FE928D7" w14:textId="77777777" w:rsidTr="00565963">
        <w:tc>
          <w:tcPr>
            <w:tcW w:w="810" w:type="dxa"/>
            <w:vMerge w:val="restart"/>
            <w:vAlign w:val="center"/>
          </w:tcPr>
          <w:p w14:paraId="15A1E481"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13</w:t>
            </w:r>
          </w:p>
        </w:tc>
        <w:tc>
          <w:tcPr>
            <w:tcW w:w="3045" w:type="dxa"/>
            <w:vMerge w:val="restart"/>
            <w:vAlign w:val="center"/>
          </w:tcPr>
          <w:p w14:paraId="7EC7DD4F" w14:textId="77777777" w:rsidR="00772B9B" w:rsidRPr="00BD0129" w:rsidRDefault="005E5CF5" w:rsidP="00565963">
            <w:pPr>
              <w:jc w:val="both"/>
              <w:rPr>
                <w:rFonts w:ascii="Times New Roman" w:hAnsi="Times New Roman" w:cs="Times New Roman"/>
                <w:sz w:val="18"/>
                <w:szCs w:val="18"/>
              </w:rPr>
            </w:pPr>
            <w:r w:rsidRPr="00BD0129">
              <w:rPr>
                <w:rFonts w:ascii="Times New Roman" w:hAnsi="Times New Roman" w:cs="Times New Roman"/>
                <w:sz w:val="18"/>
                <w:szCs w:val="18"/>
                <w:shd w:val="clear" w:color="auto" w:fill="FFFFFF"/>
              </w:rPr>
              <w:t>Elektroietaišu būvprojektu ekspertīze</w:t>
            </w:r>
          </w:p>
        </w:tc>
        <w:tc>
          <w:tcPr>
            <w:tcW w:w="5246" w:type="dxa"/>
            <w:vAlign w:val="center"/>
          </w:tcPr>
          <w:p w14:paraId="54822598" w14:textId="77777777" w:rsidR="00137475" w:rsidRPr="00BD0129"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Elektroietaišu būvprojektu ekspertīzes un elektroietaišu ekspertīzes darbības sfērās norādāms spriegums, kādā personai ir atbilstoša pieredze, – līdz 1 kilovoltam, no 1 līdz 35 kilovoltiem un virs 110 kilovoltiem. Minētajās darbības sfērās ietilpst automātisko ugunsaizsardzības, ugunsdzēsības sistēmu automātikas un vadības daļas</w:t>
            </w:r>
            <w:r w:rsidR="00B91356">
              <w:rPr>
                <w:sz w:val="18"/>
                <w:szCs w:val="18"/>
                <w:shd w:val="clear" w:color="auto" w:fill="FFFFFF"/>
              </w:rPr>
              <w:t xml:space="preserve"> </w:t>
            </w:r>
            <w:r w:rsidRPr="00C17E4B">
              <w:rPr>
                <w:sz w:val="18"/>
                <w:szCs w:val="18"/>
                <w:shd w:val="clear" w:color="auto" w:fill="FFFFFF"/>
              </w:rPr>
              <w:t>un automātisku ugunsaizsardzības sistēmu – ugunsgrēka atklāšanas un trauksmes signalizācijas sistēmu, balss ugunsgrēka izziņošanas sistēmu, dūmu aizsardzības sistēmu un centralizētas izziņošanas sistēmu</w:t>
            </w:r>
            <w:r w:rsidRPr="00BD0129">
              <w:rPr>
                <w:sz w:val="18"/>
                <w:szCs w:val="18"/>
                <w:shd w:val="clear" w:color="auto" w:fill="FFFFFF"/>
              </w:rPr>
              <w:t xml:space="preserve"> ekspertīze.</w:t>
            </w:r>
          </w:p>
        </w:tc>
      </w:tr>
      <w:tr w:rsidR="00A76D4F" w14:paraId="043FD61F" w14:textId="77777777" w:rsidTr="00565963">
        <w:tc>
          <w:tcPr>
            <w:tcW w:w="810" w:type="dxa"/>
            <w:vMerge/>
            <w:vAlign w:val="center"/>
          </w:tcPr>
          <w:p w14:paraId="4ED073CE" w14:textId="77777777" w:rsidR="00772B9B" w:rsidRPr="00BD0129" w:rsidRDefault="00772B9B" w:rsidP="00565963">
            <w:pPr>
              <w:pStyle w:val="NormalWeb"/>
              <w:spacing w:before="0" w:beforeAutospacing="0" w:after="0" w:afterAutospacing="0"/>
              <w:jc w:val="center"/>
              <w:rPr>
                <w:sz w:val="18"/>
                <w:szCs w:val="18"/>
              </w:rPr>
            </w:pPr>
          </w:p>
        </w:tc>
        <w:tc>
          <w:tcPr>
            <w:tcW w:w="3045" w:type="dxa"/>
            <w:vMerge/>
            <w:vAlign w:val="center"/>
          </w:tcPr>
          <w:p w14:paraId="2DF78C6A" w14:textId="77777777" w:rsidR="00772B9B" w:rsidRPr="00BD0129" w:rsidRDefault="00772B9B" w:rsidP="00565963">
            <w:pPr>
              <w:jc w:val="both"/>
              <w:rPr>
                <w:rFonts w:ascii="Times New Roman" w:hAnsi="Times New Roman" w:cs="Times New Roman"/>
                <w:sz w:val="18"/>
                <w:szCs w:val="18"/>
                <w:shd w:val="clear" w:color="auto" w:fill="FFFFFF"/>
              </w:rPr>
            </w:pPr>
          </w:p>
        </w:tc>
        <w:tc>
          <w:tcPr>
            <w:tcW w:w="5246" w:type="dxa"/>
            <w:vAlign w:val="center"/>
          </w:tcPr>
          <w:p w14:paraId="0CD28B8A" w14:textId="3D354635" w:rsidR="00772B9B" w:rsidRPr="00BD0129"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r w:rsidR="00161672">
              <w:rPr>
                <w:sz w:val="18"/>
                <w:szCs w:val="18"/>
                <w:shd w:val="clear" w:color="auto" w:fill="FFFFFF"/>
              </w:rPr>
              <w:t>.</w:t>
            </w:r>
          </w:p>
        </w:tc>
      </w:tr>
      <w:tr w:rsidR="00A76D4F" w14:paraId="2D63AA66" w14:textId="77777777" w:rsidTr="00565963">
        <w:tc>
          <w:tcPr>
            <w:tcW w:w="810" w:type="dxa"/>
            <w:vMerge w:val="restart"/>
            <w:vAlign w:val="center"/>
          </w:tcPr>
          <w:p w14:paraId="20062474"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14</w:t>
            </w:r>
          </w:p>
        </w:tc>
        <w:tc>
          <w:tcPr>
            <w:tcW w:w="3045" w:type="dxa"/>
            <w:vMerge w:val="restart"/>
            <w:vAlign w:val="center"/>
          </w:tcPr>
          <w:p w14:paraId="26B12AAB" w14:textId="77777777" w:rsidR="00772B9B" w:rsidRPr="00BD0129" w:rsidRDefault="005E5CF5" w:rsidP="00565963">
            <w:pPr>
              <w:jc w:val="both"/>
              <w:rPr>
                <w:rFonts w:ascii="Times New Roman" w:hAnsi="Times New Roman" w:cs="Times New Roman"/>
                <w:sz w:val="18"/>
                <w:szCs w:val="18"/>
                <w:shd w:val="clear" w:color="auto" w:fill="FFFFFF"/>
              </w:rPr>
            </w:pPr>
            <w:r w:rsidRPr="00BD0129">
              <w:rPr>
                <w:rFonts w:ascii="Times New Roman" w:hAnsi="Times New Roman" w:cs="Times New Roman"/>
                <w:sz w:val="18"/>
                <w:szCs w:val="18"/>
                <w:shd w:val="clear" w:color="auto" w:fill="FFFFFF"/>
              </w:rPr>
              <w:t>Dzelzceļa sliežu ceļu būvprojektu ekspertīze</w:t>
            </w:r>
          </w:p>
        </w:tc>
        <w:tc>
          <w:tcPr>
            <w:tcW w:w="5246" w:type="dxa"/>
            <w:vAlign w:val="center"/>
          </w:tcPr>
          <w:p w14:paraId="75BEA242" w14:textId="77777777" w:rsidR="00B91356" w:rsidRPr="00BD0129" w:rsidRDefault="005E5CF5" w:rsidP="00B91356">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dzelzceļa signalizācijas sistēmu un dzelzceļa kontakttīklu būvprojektu ekspertīzi.</w:t>
            </w:r>
          </w:p>
        </w:tc>
      </w:tr>
      <w:tr w:rsidR="00A76D4F" w14:paraId="2A754B0B" w14:textId="77777777" w:rsidTr="00565963">
        <w:tc>
          <w:tcPr>
            <w:tcW w:w="810" w:type="dxa"/>
            <w:vMerge/>
            <w:vAlign w:val="center"/>
          </w:tcPr>
          <w:p w14:paraId="638CDE99" w14:textId="77777777" w:rsidR="00772B9B" w:rsidRPr="00BD0129" w:rsidRDefault="00772B9B" w:rsidP="00565963">
            <w:pPr>
              <w:pStyle w:val="NormalWeb"/>
              <w:spacing w:before="0" w:beforeAutospacing="0" w:after="0" w:afterAutospacing="0"/>
              <w:jc w:val="center"/>
              <w:rPr>
                <w:sz w:val="18"/>
                <w:szCs w:val="18"/>
              </w:rPr>
            </w:pPr>
          </w:p>
        </w:tc>
        <w:tc>
          <w:tcPr>
            <w:tcW w:w="3045" w:type="dxa"/>
            <w:vMerge/>
            <w:vAlign w:val="center"/>
          </w:tcPr>
          <w:p w14:paraId="2E4481BA" w14:textId="77777777" w:rsidR="00772B9B" w:rsidRPr="00BD0129" w:rsidRDefault="00772B9B" w:rsidP="00565963">
            <w:pPr>
              <w:jc w:val="both"/>
              <w:rPr>
                <w:rFonts w:ascii="Times New Roman" w:hAnsi="Times New Roman" w:cs="Times New Roman"/>
                <w:sz w:val="18"/>
                <w:szCs w:val="18"/>
                <w:shd w:val="clear" w:color="auto" w:fill="FFFFFF"/>
              </w:rPr>
            </w:pPr>
          </w:p>
        </w:tc>
        <w:tc>
          <w:tcPr>
            <w:tcW w:w="5246" w:type="dxa"/>
            <w:vAlign w:val="center"/>
          </w:tcPr>
          <w:p w14:paraId="153196DD" w14:textId="3FD33BB7" w:rsidR="00772B9B" w:rsidRPr="00BD0129"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r w:rsidR="00161672">
              <w:rPr>
                <w:sz w:val="18"/>
                <w:szCs w:val="18"/>
                <w:shd w:val="clear" w:color="auto" w:fill="FFFFFF"/>
              </w:rPr>
              <w:t>.</w:t>
            </w:r>
          </w:p>
        </w:tc>
      </w:tr>
      <w:tr w:rsidR="00A76D4F" w14:paraId="7D82A177" w14:textId="77777777" w:rsidTr="00565963">
        <w:tc>
          <w:tcPr>
            <w:tcW w:w="810" w:type="dxa"/>
            <w:vMerge w:val="restart"/>
            <w:vAlign w:val="center"/>
          </w:tcPr>
          <w:p w14:paraId="70CCA5A8"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15</w:t>
            </w:r>
          </w:p>
        </w:tc>
        <w:tc>
          <w:tcPr>
            <w:tcW w:w="3045" w:type="dxa"/>
            <w:vMerge w:val="restart"/>
            <w:vAlign w:val="center"/>
          </w:tcPr>
          <w:p w14:paraId="75FC14DD" w14:textId="77777777" w:rsidR="00772B9B" w:rsidRPr="00BD0129" w:rsidRDefault="005E5CF5" w:rsidP="00565963">
            <w:pPr>
              <w:jc w:val="both"/>
              <w:rPr>
                <w:rFonts w:ascii="Times New Roman" w:hAnsi="Times New Roman" w:cs="Times New Roman"/>
                <w:sz w:val="18"/>
                <w:szCs w:val="18"/>
                <w:shd w:val="clear" w:color="auto" w:fill="FFFFFF"/>
              </w:rPr>
            </w:pPr>
            <w:r w:rsidRPr="00BD0129">
              <w:rPr>
                <w:rFonts w:ascii="Times New Roman" w:hAnsi="Times New Roman" w:cs="Times New Roman"/>
                <w:sz w:val="18"/>
                <w:szCs w:val="18"/>
              </w:rPr>
              <w:t>Elektronisko sakaru sistēmu un tīklu būvprojektu ekspertīze</w:t>
            </w:r>
          </w:p>
        </w:tc>
        <w:tc>
          <w:tcPr>
            <w:tcW w:w="5246" w:type="dxa"/>
            <w:vAlign w:val="center"/>
          </w:tcPr>
          <w:p w14:paraId="62B965C8" w14:textId="77777777" w:rsidR="00814154" w:rsidRPr="00BD0129"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Elektronisko sakaru sistēmu un tīklu būvprojektu ekspertīzes darbības sfērā ietilpst automātisku ugunsaizsardzības sistēmu – ugunsgrēka atklāšanas un trauksmes signalizācijas sistēmu un balss ugunsgrēka izziņošanas sistēmu</w:t>
            </w:r>
            <w:r>
              <w:rPr>
                <w:sz w:val="18"/>
                <w:szCs w:val="18"/>
                <w:shd w:val="clear" w:color="auto" w:fill="FFFFFF"/>
              </w:rPr>
              <w:t xml:space="preserve">, </w:t>
            </w:r>
            <w:r w:rsidRPr="00C17E4B">
              <w:rPr>
                <w:sz w:val="18"/>
                <w:szCs w:val="18"/>
                <w:shd w:val="clear" w:color="auto" w:fill="FFFFFF"/>
              </w:rPr>
              <w:t>kā arī automātisko ugunsaizsardzības un ugunsdzēsības sistēmu automātikas un vadības daļas</w:t>
            </w:r>
            <w:r w:rsidRPr="00BD0129">
              <w:rPr>
                <w:sz w:val="18"/>
                <w:szCs w:val="18"/>
                <w:shd w:val="clear" w:color="auto" w:fill="FFFFFF"/>
              </w:rPr>
              <w:t>–</w:t>
            </w:r>
            <w:r>
              <w:rPr>
                <w:sz w:val="18"/>
                <w:szCs w:val="18"/>
                <w:shd w:val="clear" w:color="auto" w:fill="FFFFFF"/>
              </w:rPr>
              <w:t xml:space="preserve"> </w:t>
            </w:r>
            <w:r w:rsidRPr="00BD0129">
              <w:rPr>
                <w:sz w:val="18"/>
                <w:szCs w:val="18"/>
                <w:shd w:val="clear" w:color="auto" w:fill="FFFFFF"/>
              </w:rPr>
              <w:t>būvprojektu ekspertīze.</w:t>
            </w:r>
          </w:p>
        </w:tc>
      </w:tr>
      <w:tr w:rsidR="00A76D4F" w14:paraId="6A0719C2" w14:textId="77777777" w:rsidTr="00565963">
        <w:tc>
          <w:tcPr>
            <w:tcW w:w="810" w:type="dxa"/>
            <w:vMerge/>
            <w:vAlign w:val="center"/>
          </w:tcPr>
          <w:p w14:paraId="17793D15" w14:textId="77777777" w:rsidR="00772B9B" w:rsidRPr="00BD0129" w:rsidRDefault="00772B9B" w:rsidP="00565963">
            <w:pPr>
              <w:pStyle w:val="NormalWeb"/>
              <w:spacing w:before="0" w:beforeAutospacing="0" w:after="0" w:afterAutospacing="0"/>
              <w:jc w:val="center"/>
              <w:rPr>
                <w:sz w:val="18"/>
                <w:szCs w:val="18"/>
              </w:rPr>
            </w:pPr>
          </w:p>
        </w:tc>
        <w:tc>
          <w:tcPr>
            <w:tcW w:w="3045" w:type="dxa"/>
            <w:vMerge/>
            <w:vAlign w:val="center"/>
          </w:tcPr>
          <w:p w14:paraId="21290302" w14:textId="77777777" w:rsidR="00772B9B" w:rsidRPr="00BD0129" w:rsidRDefault="00772B9B" w:rsidP="00565963">
            <w:pPr>
              <w:jc w:val="both"/>
              <w:rPr>
                <w:rFonts w:ascii="Times New Roman" w:hAnsi="Times New Roman" w:cs="Times New Roman"/>
                <w:sz w:val="18"/>
                <w:szCs w:val="18"/>
              </w:rPr>
            </w:pPr>
          </w:p>
        </w:tc>
        <w:tc>
          <w:tcPr>
            <w:tcW w:w="5246" w:type="dxa"/>
            <w:vAlign w:val="center"/>
          </w:tcPr>
          <w:p w14:paraId="3D6515EE" w14:textId="25A6BADE" w:rsidR="00772B9B" w:rsidRPr="00BD0129"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atbilstošo būvju ekspertīzi</w:t>
            </w:r>
            <w:r w:rsidR="00161672">
              <w:rPr>
                <w:sz w:val="18"/>
                <w:szCs w:val="18"/>
                <w:shd w:val="clear" w:color="auto" w:fill="FFFFFF"/>
              </w:rPr>
              <w:t>.</w:t>
            </w:r>
          </w:p>
        </w:tc>
      </w:tr>
      <w:tr w:rsidR="002D50CF" w14:paraId="1B8A2EBD" w14:textId="77777777" w:rsidTr="00E165C8">
        <w:tc>
          <w:tcPr>
            <w:tcW w:w="810" w:type="dxa"/>
            <w:vAlign w:val="center"/>
          </w:tcPr>
          <w:p w14:paraId="2D742090" w14:textId="77777777" w:rsidR="002D50CF" w:rsidRPr="00BD0129" w:rsidRDefault="002D50CF" w:rsidP="00565963">
            <w:pPr>
              <w:pStyle w:val="NormalWeb"/>
              <w:spacing w:before="0" w:beforeAutospacing="0" w:after="0" w:afterAutospacing="0"/>
              <w:jc w:val="center"/>
              <w:rPr>
                <w:sz w:val="18"/>
                <w:szCs w:val="18"/>
              </w:rPr>
            </w:pPr>
            <w:r w:rsidRPr="00BD0129">
              <w:rPr>
                <w:sz w:val="18"/>
                <w:szCs w:val="18"/>
              </w:rPr>
              <w:t>16</w:t>
            </w:r>
          </w:p>
        </w:tc>
        <w:tc>
          <w:tcPr>
            <w:tcW w:w="3045" w:type="dxa"/>
            <w:vAlign w:val="center"/>
          </w:tcPr>
          <w:p w14:paraId="5B11FC2B" w14:textId="77777777" w:rsidR="002D50CF" w:rsidRPr="00BD0129" w:rsidRDefault="002D50CF" w:rsidP="00565963">
            <w:pPr>
              <w:jc w:val="both"/>
              <w:rPr>
                <w:rFonts w:ascii="Times New Roman" w:hAnsi="Times New Roman" w:cs="Times New Roman"/>
                <w:sz w:val="18"/>
                <w:szCs w:val="18"/>
              </w:rPr>
            </w:pPr>
            <w:r w:rsidRPr="00BD0129">
              <w:rPr>
                <w:rFonts w:ascii="Times New Roman" w:hAnsi="Times New Roman" w:cs="Times New Roman"/>
                <w:sz w:val="18"/>
                <w:szCs w:val="18"/>
              </w:rPr>
              <w:t>Ēku ekspertīze</w:t>
            </w:r>
          </w:p>
        </w:tc>
        <w:tc>
          <w:tcPr>
            <w:tcW w:w="5246" w:type="dxa"/>
            <w:vMerge w:val="restart"/>
            <w:shd w:val="clear" w:color="auto" w:fill="D9D9D9" w:themeFill="background1" w:themeFillShade="D9"/>
            <w:vAlign w:val="center"/>
          </w:tcPr>
          <w:p w14:paraId="5C03DEE0" w14:textId="77777777" w:rsidR="002D50CF" w:rsidRPr="00BD0129" w:rsidRDefault="002D50CF" w:rsidP="00565963">
            <w:pPr>
              <w:pStyle w:val="NormalWeb"/>
              <w:spacing w:before="0" w:beforeAutospacing="0" w:after="0" w:afterAutospacing="0"/>
              <w:jc w:val="both"/>
              <w:rPr>
                <w:sz w:val="18"/>
                <w:szCs w:val="18"/>
                <w:shd w:val="clear" w:color="auto" w:fill="FFFFFF"/>
              </w:rPr>
            </w:pPr>
          </w:p>
        </w:tc>
      </w:tr>
      <w:tr w:rsidR="002D50CF" w14:paraId="46E4F4FC" w14:textId="77777777" w:rsidTr="00E165C8">
        <w:tc>
          <w:tcPr>
            <w:tcW w:w="810" w:type="dxa"/>
            <w:vAlign w:val="center"/>
          </w:tcPr>
          <w:p w14:paraId="1F2FC9B3" w14:textId="77777777" w:rsidR="002D50CF" w:rsidRPr="00BD0129" w:rsidRDefault="002D50CF" w:rsidP="00565963">
            <w:pPr>
              <w:pStyle w:val="NormalWeb"/>
              <w:spacing w:before="0" w:beforeAutospacing="0" w:after="0" w:afterAutospacing="0"/>
              <w:jc w:val="center"/>
              <w:rPr>
                <w:sz w:val="18"/>
                <w:szCs w:val="18"/>
              </w:rPr>
            </w:pPr>
            <w:r w:rsidRPr="00BD0129">
              <w:rPr>
                <w:sz w:val="18"/>
                <w:szCs w:val="18"/>
              </w:rPr>
              <w:t>17</w:t>
            </w:r>
          </w:p>
        </w:tc>
        <w:tc>
          <w:tcPr>
            <w:tcW w:w="3045" w:type="dxa"/>
            <w:vAlign w:val="center"/>
          </w:tcPr>
          <w:p w14:paraId="0759A4FC" w14:textId="77777777" w:rsidR="002D50CF" w:rsidRPr="00BD0129" w:rsidRDefault="002D50CF" w:rsidP="00565963">
            <w:pPr>
              <w:jc w:val="both"/>
              <w:rPr>
                <w:rFonts w:ascii="Times New Roman" w:hAnsi="Times New Roman" w:cs="Times New Roman"/>
                <w:sz w:val="18"/>
                <w:szCs w:val="18"/>
              </w:rPr>
            </w:pPr>
            <w:r w:rsidRPr="00BD0129">
              <w:rPr>
                <w:rFonts w:ascii="Times New Roman" w:hAnsi="Times New Roman" w:cs="Times New Roman"/>
                <w:sz w:val="18"/>
                <w:szCs w:val="18"/>
              </w:rPr>
              <w:t>Ceļu ekspertīze</w:t>
            </w:r>
          </w:p>
        </w:tc>
        <w:tc>
          <w:tcPr>
            <w:tcW w:w="5246" w:type="dxa"/>
            <w:vMerge/>
            <w:shd w:val="clear" w:color="auto" w:fill="D9D9D9" w:themeFill="background1" w:themeFillShade="D9"/>
            <w:vAlign w:val="center"/>
          </w:tcPr>
          <w:p w14:paraId="151AF991" w14:textId="77777777" w:rsidR="002D50CF" w:rsidRPr="00BD0129" w:rsidRDefault="002D50CF" w:rsidP="00565963">
            <w:pPr>
              <w:pStyle w:val="NormalWeb"/>
              <w:spacing w:before="0" w:beforeAutospacing="0" w:after="0" w:afterAutospacing="0"/>
              <w:jc w:val="both"/>
              <w:rPr>
                <w:sz w:val="18"/>
                <w:szCs w:val="18"/>
                <w:shd w:val="clear" w:color="auto" w:fill="FFFFFF"/>
              </w:rPr>
            </w:pPr>
          </w:p>
        </w:tc>
      </w:tr>
      <w:tr w:rsidR="002D50CF" w14:paraId="627EAC5B" w14:textId="77777777" w:rsidTr="00E165C8">
        <w:tc>
          <w:tcPr>
            <w:tcW w:w="810" w:type="dxa"/>
            <w:vAlign w:val="center"/>
          </w:tcPr>
          <w:p w14:paraId="5897420F" w14:textId="77777777" w:rsidR="002D50CF" w:rsidRPr="00BD0129" w:rsidRDefault="002D50CF" w:rsidP="00565963">
            <w:pPr>
              <w:pStyle w:val="NormalWeb"/>
              <w:spacing w:before="0" w:beforeAutospacing="0" w:after="0" w:afterAutospacing="0"/>
              <w:jc w:val="center"/>
              <w:rPr>
                <w:sz w:val="18"/>
                <w:szCs w:val="18"/>
              </w:rPr>
            </w:pPr>
            <w:r w:rsidRPr="00BD0129">
              <w:rPr>
                <w:sz w:val="18"/>
                <w:szCs w:val="18"/>
              </w:rPr>
              <w:t>18</w:t>
            </w:r>
          </w:p>
        </w:tc>
        <w:tc>
          <w:tcPr>
            <w:tcW w:w="3045" w:type="dxa"/>
            <w:vAlign w:val="center"/>
          </w:tcPr>
          <w:p w14:paraId="3DCE2379" w14:textId="77777777" w:rsidR="002D50CF" w:rsidRPr="00BD0129" w:rsidRDefault="002D50CF" w:rsidP="00565963">
            <w:pPr>
              <w:jc w:val="both"/>
              <w:rPr>
                <w:rFonts w:ascii="Times New Roman" w:hAnsi="Times New Roman" w:cs="Times New Roman"/>
                <w:sz w:val="18"/>
                <w:szCs w:val="18"/>
              </w:rPr>
            </w:pPr>
            <w:r w:rsidRPr="00BD0129">
              <w:rPr>
                <w:rFonts w:ascii="Times New Roman" w:hAnsi="Times New Roman" w:cs="Times New Roman"/>
                <w:sz w:val="18"/>
                <w:szCs w:val="18"/>
              </w:rPr>
              <w:t>Tiltu ekspertīze</w:t>
            </w:r>
          </w:p>
        </w:tc>
        <w:tc>
          <w:tcPr>
            <w:tcW w:w="5246" w:type="dxa"/>
            <w:vMerge/>
            <w:shd w:val="clear" w:color="auto" w:fill="D9D9D9" w:themeFill="background1" w:themeFillShade="D9"/>
            <w:vAlign w:val="center"/>
          </w:tcPr>
          <w:p w14:paraId="2833B39F" w14:textId="77777777" w:rsidR="002D50CF" w:rsidRPr="00BD0129" w:rsidRDefault="002D50CF" w:rsidP="00565963">
            <w:pPr>
              <w:pStyle w:val="NormalWeb"/>
              <w:spacing w:before="0" w:beforeAutospacing="0" w:after="0" w:afterAutospacing="0"/>
              <w:jc w:val="both"/>
              <w:rPr>
                <w:sz w:val="18"/>
                <w:szCs w:val="18"/>
                <w:shd w:val="clear" w:color="auto" w:fill="FFFFFF"/>
              </w:rPr>
            </w:pPr>
          </w:p>
        </w:tc>
      </w:tr>
      <w:tr w:rsidR="002D50CF" w14:paraId="7B932BD5" w14:textId="77777777" w:rsidTr="00E165C8">
        <w:tc>
          <w:tcPr>
            <w:tcW w:w="810" w:type="dxa"/>
            <w:vAlign w:val="center"/>
          </w:tcPr>
          <w:p w14:paraId="30A717D8" w14:textId="77777777" w:rsidR="002D50CF" w:rsidRPr="00BD0129" w:rsidRDefault="002D50CF" w:rsidP="00565963">
            <w:pPr>
              <w:pStyle w:val="NormalWeb"/>
              <w:spacing w:before="0" w:beforeAutospacing="0" w:after="0" w:afterAutospacing="0"/>
              <w:jc w:val="center"/>
              <w:rPr>
                <w:sz w:val="18"/>
                <w:szCs w:val="18"/>
              </w:rPr>
            </w:pPr>
            <w:r w:rsidRPr="00BD0129">
              <w:rPr>
                <w:sz w:val="18"/>
                <w:szCs w:val="18"/>
              </w:rPr>
              <w:t>19</w:t>
            </w:r>
          </w:p>
        </w:tc>
        <w:tc>
          <w:tcPr>
            <w:tcW w:w="3045" w:type="dxa"/>
            <w:vAlign w:val="center"/>
          </w:tcPr>
          <w:p w14:paraId="154A8BD1" w14:textId="77777777" w:rsidR="002D50CF" w:rsidRPr="00BD0129" w:rsidRDefault="002D50CF" w:rsidP="00565963">
            <w:pPr>
              <w:jc w:val="both"/>
              <w:rPr>
                <w:rFonts w:ascii="Times New Roman" w:hAnsi="Times New Roman" w:cs="Times New Roman"/>
                <w:sz w:val="18"/>
                <w:szCs w:val="18"/>
              </w:rPr>
            </w:pPr>
            <w:r w:rsidRPr="00BD0129">
              <w:rPr>
                <w:rFonts w:ascii="Times New Roman" w:hAnsi="Times New Roman" w:cs="Times New Roman"/>
                <w:sz w:val="18"/>
                <w:szCs w:val="18"/>
              </w:rPr>
              <w:t>Ūdensapgādes un kanalizācijas sistēmu ekspertīze</w:t>
            </w:r>
          </w:p>
        </w:tc>
        <w:tc>
          <w:tcPr>
            <w:tcW w:w="5246" w:type="dxa"/>
            <w:vMerge/>
            <w:shd w:val="clear" w:color="auto" w:fill="D9D9D9" w:themeFill="background1" w:themeFillShade="D9"/>
            <w:vAlign w:val="center"/>
          </w:tcPr>
          <w:p w14:paraId="67E29C4D" w14:textId="77777777" w:rsidR="002D50CF" w:rsidRPr="00BD0129" w:rsidRDefault="002D50CF" w:rsidP="00565963">
            <w:pPr>
              <w:pStyle w:val="NormalWeb"/>
              <w:spacing w:before="0" w:beforeAutospacing="0" w:after="0" w:afterAutospacing="0"/>
              <w:jc w:val="both"/>
              <w:rPr>
                <w:sz w:val="18"/>
                <w:szCs w:val="18"/>
                <w:shd w:val="clear" w:color="auto" w:fill="FFFFFF"/>
              </w:rPr>
            </w:pPr>
          </w:p>
        </w:tc>
      </w:tr>
      <w:tr w:rsidR="00A76D4F" w14:paraId="3FBB8B84" w14:textId="77777777" w:rsidTr="00565963">
        <w:tc>
          <w:tcPr>
            <w:tcW w:w="810" w:type="dxa"/>
            <w:vAlign w:val="center"/>
          </w:tcPr>
          <w:p w14:paraId="58057FDE" w14:textId="77777777" w:rsidR="00772B9B" w:rsidRPr="00BD0129" w:rsidRDefault="005E5CF5" w:rsidP="00FC0A8E">
            <w:pPr>
              <w:pStyle w:val="NormalWeb"/>
              <w:spacing w:before="0" w:beforeAutospacing="0" w:after="0" w:afterAutospacing="0"/>
              <w:jc w:val="center"/>
              <w:rPr>
                <w:sz w:val="18"/>
                <w:szCs w:val="18"/>
              </w:rPr>
            </w:pPr>
            <w:r w:rsidRPr="00BD0129">
              <w:rPr>
                <w:sz w:val="18"/>
                <w:szCs w:val="18"/>
              </w:rPr>
              <w:t>20</w:t>
            </w:r>
          </w:p>
        </w:tc>
        <w:tc>
          <w:tcPr>
            <w:tcW w:w="3045" w:type="dxa"/>
            <w:vAlign w:val="center"/>
          </w:tcPr>
          <w:p w14:paraId="66073A4B" w14:textId="77777777" w:rsidR="00772B9B" w:rsidRPr="00BD0129" w:rsidRDefault="005E5CF5" w:rsidP="00565963">
            <w:pPr>
              <w:jc w:val="both"/>
              <w:rPr>
                <w:rFonts w:ascii="Times New Roman" w:hAnsi="Times New Roman" w:cs="Times New Roman"/>
                <w:sz w:val="18"/>
                <w:szCs w:val="18"/>
              </w:rPr>
            </w:pPr>
            <w:r w:rsidRPr="00BD0129">
              <w:rPr>
                <w:rFonts w:ascii="Times New Roman" w:hAnsi="Times New Roman" w:cs="Times New Roman"/>
                <w:sz w:val="18"/>
                <w:szCs w:val="18"/>
              </w:rPr>
              <w:t>Siltumapgādes, ventilācijas un gaisa kondicionēšanas sistēmu ekspertīze</w:t>
            </w:r>
          </w:p>
        </w:tc>
        <w:tc>
          <w:tcPr>
            <w:tcW w:w="5246" w:type="dxa"/>
          </w:tcPr>
          <w:p w14:paraId="3E54367F" w14:textId="77777777" w:rsidR="00C87C2B" w:rsidRPr="00BD0129" w:rsidRDefault="005E5CF5" w:rsidP="00C17E4B">
            <w:pPr>
              <w:pStyle w:val="NormalWeb"/>
              <w:spacing w:before="0" w:beforeAutospacing="0" w:after="0" w:afterAutospacing="0"/>
              <w:jc w:val="both"/>
              <w:rPr>
                <w:sz w:val="18"/>
                <w:szCs w:val="18"/>
                <w:shd w:val="clear" w:color="auto" w:fill="FFFFFF"/>
              </w:rPr>
            </w:pPr>
            <w:r w:rsidRPr="00BD0129">
              <w:rPr>
                <w:sz w:val="18"/>
                <w:szCs w:val="18"/>
                <w:shd w:val="clear" w:color="auto" w:fill="FFFFFF"/>
              </w:rPr>
              <w:t xml:space="preserve">Apkures sistēmas, ventilācijas sistēmas, gaisa kondicionēšanas sistēmas, ēku dzesēšanas sistēmas, dūmu aizsardzības, dūmu un karstuma izvades sistēmas, </w:t>
            </w:r>
            <w:proofErr w:type="spellStart"/>
            <w:r w:rsidRPr="00BD0129">
              <w:rPr>
                <w:sz w:val="18"/>
                <w:szCs w:val="18"/>
                <w:shd w:val="clear" w:color="auto" w:fill="FFFFFF"/>
              </w:rPr>
              <w:t>siltummehānika</w:t>
            </w:r>
            <w:proofErr w:type="spellEnd"/>
            <w:r w:rsidRPr="00BD0129">
              <w:rPr>
                <w:sz w:val="18"/>
                <w:szCs w:val="18"/>
                <w:shd w:val="clear" w:color="auto" w:fill="FFFFFF"/>
              </w:rPr>
              <w:t xml:space="preserve">/siltumapgādes avoti (tajā skaitā biomasas apkures sistēmas, saules kolektoru sistēmas, ģeotermiskās sistēmas un </w:t>
            </w:r>
            <w:proofErr w:type="spellStart"/>
            <w:r w:rsidRPr="00BD0129">
              <w:rPr>
                <w:sz w:val="18"/>
                <w:szCs w:val="18"/>
                <w:shd w:val="clear" w:color="auto" w:fill="FFFFFF"/>
              </w:rPr>
              <w:t>siltumsūkņi</w:t>
            </w:r>
            <w:proofErr w:type="spellEnd"/>
            <w:r w:rsidRPr="00BD0129">
              <w:rPr>
                <w:sz w:val="18"/>
                <w:szCs w:val="18"/>
                <w:shd w:val="clear" w:color="auto" w:fill="FFFFFF"/>
              </w:rPr>
              <w:t>), siltumtīkli.</w:t>
            </w:r>
          </w:p>
        </w:tc>
      </w:tr>
      <w:tr w:rsidR="00A76D4F" w14:paraId="135D5282" w14:textId="77777777" w:rsidTr="00565963">
        <w:tc>
          <w:tcPr>
            <w:tcW w:w="810" w:type="dxa"/>
            <w:shd w:val="clear" w:color="auto" w:fill="FFFFFF" w:themeFill="background1"/>
            <w:vAlign w:val="center"/>
          </w:tcPr>
          <w:p w14:paraId="18E41794"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21</w:t>
            </w:r>
          </w:p>
        </w:tc>
        <w:tc>
          <w:tcPr>
            <w:tcW w:w="3045" w:type="dxa"/>
            <w:shd w:val="clear" w:color="auto" w:fill="FFFFFF" w:themeFill="background1"/>
            <w:vAlign w:val="center"/>
          </w:tcPr>
          <w:p w14:paraId="01694D54"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Saldēšanas sistēmu ekspertīze</w:t>
            </w:r>
          </w:p>
        </w:tc>
        <w:tc>
          <w:tcPr>
            <w:tcW w:w="5246" w:type="dxa"/>
            <w:shd w:val="clear" w:color="auto" w:fill="FFFFFF" w:themeFill="background1"/>
            <w:vAlign w:val="center"/>
          </w:tcPr>
          <w:p w14:paraId="01E6EEA1" w14:textId="3842A36D" w:rsidR="00F610D5" w:rsidRPr="00FF316A"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Sistēmas, kas nodrošina zemu temperatūru tehnoloģiskos procesus pārtikas, medicīnas, ķīmiskajā rūpniecībā, lauksaimniecības, zivsaimniecības un pārtikas produktu ražošanā, uzglabāšanā (tai skaitā visu lielumu stacionārās un pārvietojamās saldēšanas sistēmas, ieskaitot kompresorus-</w:t>
            </w:r>
            <w:proofErr w:type="spellStart"/>
            <w:r w:rsidRPr="00BD0129">
              <w:rPr>
                <w:sz w:val="18"/>
                <w:szCs w:val="18"/>
                <w:shd w:val="clear" w:color="auto" w:fill="FFFFFF"/>
              </w:rPr>
              <w:t>siltumsūkņus</w:t>
            </w:r>
            <w:proofErr w:type="spellEnd"/>
            <w:r w:rsidRPr="00BD0129">
              <w:rPr>
                <w:sz w:val="18"/>
                <w:szCs w:val="18"/>
                <w:shd w:val="clear" w:color="auto" w:fill="FFFFFF"/>
              </w:rPr>
              <w:t>, kompresoru stacijas saldēšanas sistēmās, saldēšanas kameras, noliktavas un saldētavas).</w:t>
            </w:r>
          </w:p>
        </w:tc>
      </w:tr>
      <w:tr w:rsidR="00A76D4F" w14:paraId="5887A009" w14:textId="77777777" w:rsidTr="00565963">
        <w:tc>
          <w:tcPr>
            <w:tcW w:w="810" w:type="dxa"/>
            <w:shd w:val="clear" w:color="auto" w:fill="FFFFFF" w:themeFill="background1"/>
            <w:vAlign w:val="center"/>
          </w:tcPr>
          <w:p w14:paraId="7E330BA8"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22</w:t>
            </w:r>
          </w:p>
        </w:tc>
        <w:tc>
          <w:tcPr>
            <w:tcW w:w="3045" w:type="dxa"/>
            <w:shd w:val="clear" w:color="auto" w:fill="FFFFFF" w:themeFill="background1"/>
            <w:vAlign w:val="center"/>
          </w:tcPr>
          <w:p w14:paraId="0753395A"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Sadales un lietotāju gāzes apgādes sistēmu ekspertīze</w:t>
            </w:r>
          </w:p>
        </w:tc>
        <w:tc>
          <w:tcPr>
            <w:tcW w:w="5246" w:type="dxa"/>
            <w:shd w:val="clear" w:color="auto" w:fill="FFFFFF" w:themeFill="background1"/>
            <w:vAlign w:val="center"/>
          </w:tcPr>
          <w:p w14:paraId="0CB6B698" w14:textId="6366D5EF" w:rsidR="00F610D5" w:rsidRPr="00FF316A"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Gāzes transportēšanas, sadales un lietotāja gāzes apgādes sistēmas ar spiedienu līdz 1,6 </w:t>
            </w:r>
            <w:proofErr w:type="spellStart"/>
            <w:r w:rsidRPr="00BD0129">
              <w:rPr>
                <w:sz w:val="18"/>
                <w:szCs w:val="18"/>
                <w:shd w:val="clear" w:color="auto" w:fill="FFFFFF"/>
              </w:rPr>
              <w:t>MPa</w:t>
            </w:r>
            <w:proofErr w:type="spellEnd"/>
            <w:r w:rsidRPr="00BD0129">
              <w:rPr>
                <w:sz w:val="18"/>
                <w:szCs w:val="18"/>
                <w:shd w:val="clear" w:color="auto" w:fill="FFFFFF"/>
              </w:rPr>
              <w:t xml:space="preserve"> (16 bar).</w:t>
            </w:r>
          </w:p>
        </w:tc>
      </w:tr>
      <w:tr w:rsidR="00A76D4F" w14:paraId="1928A6B4" w14:textId="77777777" w:rsidTr="00565963">
        <w:tc>
          <w:tcPr>
            <w:tcW w:w="810" w:type="dxa"/>
            <w:shd w:val="clear" w:color="auto" w:fill="FFFFFF" w:themeFill="background1"/>
            <w:vAlign w:val="center"/>
          </w:tcPr>
          <w:p w14:paraId="661369A9"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23</w:t>
            </w:r>
          </w:p>
        </w:tc>
        <w:tc>
          <w:tcPr>
            <w:tcW w:w="3045" w:type="dxa"/>
            <w:shd w:val="clear" w:color="auto" w:fill="FFFFFF" w:themeFill="background1"/>
            <w:vAlign w:val="center"/>
          </w:tcPr>
          <w:p w14:paraId="11C963EB"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Pārvades gāzes un naftas apgādes sistēmu ekspertīze</w:t>
            </w:r>
          </w:p>
        </w:tc>
        <w:tc>
          <w:tcPr>
            <w:tcW w:w="5246" w:type="dxa"/>
            <w:shd w:val="clear" w:color="auto" w:fill="FFFFFF" w:themeFill="background1"/>
            <w:vAlign w:val="center"/>
          </w:tcPr>
          <w:p w14:paraId="1E4A082F" w14:textId="0C5E6972" w:rsidR="00F610D5" w:rsidRPr="00FF316A"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Gāzes un naftas transportēšanas un glabāšanas sistēmas ar spiedienu, augstāku par 1,6 </w:t>
            </w:r>
            <w:proofErr w:type="spellStart"/>
            <w:r w:rsidRPr="00BD0129">
              <w:rPr>
                <w:sz w:val="18"/>
                <w:szCs w:val="18"/>
                <w:shd w:val="clear" w:color="auto" w:fill="FFFFFF"/>
              </w:rPr>
              <w:t>MPa</w:t>
            </w:r>
            <w:proofErr w:type="spellEnd"/>
            <w:r w:rsidRPr="00BD0129">
              <w:rPr>
                <w:sz w:val="18"/>
                <w:szCs w:val="18"/>
                <w:shd w:val="clear" w:color="auto" w:fill="FFFFFF"/>
              </w:rPr>
              <w:t xml:space="preserve"> (16 bar).</w:t>
            </w:r>
          </w:p>
        </w:tc>
      </w:tr>
      <w:tr w:rsidR="00A76D4F" w14:paraId="62E8B1B2" w14:textId="77777777" w:rsidTr="00565963">
        <w:tc>
          <w:tcPr>
            <w:tcW w:w="810" w:type="dxa"/>
            <w:shd w:val="clear" w:color="auto" w:fill="FFFFFF" w:themeFill="background1"/>
            <w:vAlign w:val="center"/>
          </w:tcPr>
          <w:p w14:paraId="479000A3"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24</w:t>
            </w:r>
          </w:p>
        </w:tc>
        <w:tc>
          <w:tcPr>
            <w:tcW w:w="3045" w:type="dxa"/>
            <w:shd w:val="clear" w:color="auto" w:fill="FFFFFF" w:themeFill="background1"/>
            <w:vAlign w:val="center"/>
          </w:tcPr>
          <w:p w14:paraId="7A753E5C"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Meliorācijas sistēmu ekspertīze</w:t>
            </w:r>
          </w:p>
        </w:tc>
        <w:tc>
          <w:tcPr>
            <w:tcW w:w="5246" w:type="dxa"/>
            <w:shd w:val="clear" w:color="auto" w:fill="D9D9D9" w:themeFill="background1" w:themeFillShade="D9"/>
            <w:vAlign w:val="center"/>
          </w:tcPr>
          <w:p w14:paraId="7EE644C2" w14:textId="77777777" w:rsidR="00772B9B" w:rsidRPr="00BD0129" w:rsidRDefault="00772B9B" w:rsidP="00565963">
            <w:pPr>
              <w:pStyle w:val="NormalWeb"/>
              <w:spacing w:before="0" w:beforeAutospacing="0" w:after="0" w:afterAutospacing="0"/>
              <w:jc w:val="both"/>
              <w:rPr>
                <w:sz w:val="18"/>
                <w:szCs w:val="18"/>
              </w:rPr>
            </w:pPr>
          </w:p>
        </w:tc>
      </w:tr>
      <w:tr w:rsidR="00A76D4F" w14:paraId="486F45A3" w14:textId="77777777" w:rsidTr="00565963">
        <w:tc>
          <w:tcPr>
            <w:tcW w:w="810" w:type="dxa"/>
            <w:shd w:val="clear" w:color="auto" w:fill="FFFFFF" w:themeFill="background1"/>
            <w:vAlign w:val="center"/>
          </w:tcPr>
          <w:p w14:paraId="13F5F72C"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25</w:t>
            </w:r>
          </w:p>
        </w:tc>
        <w:tc>
          <w:tcPr>
            <w:tcW w:w="3045" w:type="dxa"/>
            <w:shd w:val="clear" w:color="auto" w:fill="FFFFFF" w:themeFill="background1"/>
            <w:vAlign w:val="center"/>
          </w:tcPr>
          <w:p w14:paraId="5E180FF9"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Hidrotehnisko būvju ekspertīze</w:t>
            </w:r>
          </w:p>
        </w:tc>
        <w:tc>
          <w:tcPr>
            <w:tcW w:w="5246" w:type="dxa"/>
            <w:shd w:val="clear" w:color="auto" w:fill="D9D9D9" w:themeFill="background1" w:themeFillShade="D9"/>
            <w:vAlign w:val="center"/>
          </w:tcPr>
          <w:p w14:paraId="5C29BE1D" w14:textId="77777777" w:rsidR="00772B9B" w:rsidRPr="00BD0129" w:rsidRDefault="00772B9B" w:rsidP="00565963">
            <w:pPr>
              <w:pStyle w:val="NormalWeb"/>
              <w:spacing w:before="0" w:beforeAutospacing="0" w:after="0" w:afterAutospacing="0"/>
              <w:jc w:val="both"/>
              <w:rPr>
                <w:sz w:val="18"/>
                <w:szCs w:val="18"/>
              </w:rPr>
            </w:pPr>
          </w:p>
        </w:tc>
      </w:tr>
      <w:tr w:rsidR="00A76D4F" w14:paraId="540A9D20" w14:textId="77777777" w:rsidTr="00565963">
        <w:tc>
          <w:tcPr>
            <w:tcW w:w="810" w:type="dxa"/>
            <w:shd w:val="clear" w:color="auto" w:fill="FFFFFF" w:themeFill="background1"/>
            <w:vAlign w:val="center"/>
          </w:tcPr>
          <w:p w14:paraId="6FCF55A7"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26</w:t>
            </w:r>
          </w:p>
        </w:tc>
        <w:tc>
          <w:tcPr>
            <w:tcW w:w="3045" w:type="dxa"/>
            <w:shd w:val="clear" w:color="auto" w:fill="FFFFFF" w:themeFill="background1"/>
            <w:vAlign w:val="center"/>
          </w:tcPr>
          <w:p w14:paraId="0015E6E7"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Ostu un jūras hidrotehnisko būvju ekspertīze</w:t>
            </w:r>
          </w:p>
        </w:tc>
        <w:tc>
          <w:tcPr>
            <w:tcW w:w="5246" w:type="dxa"/>
            <w:shd w:val="clear" w:color="auto" w:fill="D9D9D9" w:themeFill="background1" w:themeFillShade="D9"/>
            <w:vAlign w:val="center"/>
          </w:tcPr>
          <w:p w14:paraId="6347C983" w14:textId="77777777" w:rsidR="00772B9B" w:rsidRPr="00BD0129" w:rsidRDefault="00772B9B" w:rsidP="00565963">
            <w:pPr>
              <w:pStyle w:val="NormalWeb"/>
              <w:spacing w:before="0" w:beforeAutospacing="0" w:after="0" w:afterAutospacing="0"/>
              <w:jc w:val="both"/>
              <w:rPr>
                <w:sz w:val="18"/>
                <w:szCs w:val="18"/>
              </w:rPr>
            </w:pPr>
          </w:p>
        </w:tc>
      </w:tr>
      <w:tr w:rsidR="00A76D4F" w14:paraId="4E36A5BB" w14:textId="77777777" w:rsidTr="00565963">
        <w:tc>
          <w:tcPr>
            <w:tcW w:w="810" w:type="dxa"/>
            <w:shd w:val="clear" w:color="auto" w:fill="FFFFFF" w:themeFill="background1"/>
            <w:vAlign w:val="center"/>
          </w:tcPr>
          <w:p w14:paraId="363AC9BD"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27</w:t>
            </w:r>
          </w:p>
        </w:tc>
        <w:tc>
          <w:tcPr>
            <w:tcW w:w="3045" w:type="dxa"/>
            <w:shd w:val="clear" w:color="auto" w:fill="FFFFFF" w:themeFill="background1"/>
            <w:vAlign w:val="center"/>
          </w:tcPr>
          <w:p w14:paraId="085A2DD5"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Elektroietaišu ekspertīze</w:t>
            </w:r>
          </w:p>
        </w:tc>
        <w:tc>
          <w:tcPr>
            <w:tcW w:w="5246" w:type="dxa"/>
            <w:shd w:val="clear" w:color="auto" w:fill="FFFFFF" w:themeFill="background1"/>
            <w:vAlign w:val="center"/>
          </w:tcPr>
          <w:p w14:paraId="069CF383" w14:textId="77777777" w:rsidR="00827506" w:rsidRPr="00C17E4B"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Elektroietaišu ekspertīzes darbības sfērās norādāms spriegums, kādā personai ir atbilstoša pieredze, – līdz 1 kilovoltam, no 1 līdz 35 kilovoltiem un virs 110 kilovoltiem. Minētajās darbības sfērās ietilpst automātisko ugunsaizsardzības, ugunsdzēsības sistēmu automātikas un vadības daļas</w:t>
            </w:r>
            <w:r>
              <w:rPr>
                <w:sz w:val="18"/>
                <w:szCs w:val="18"/>
                <w:shd w:val="clear" w:color="auto" w:fill="FFFFFF"/>
              </w:rPr>
              <w:t xml:space="preserve"> </w:t>
            </w:r>
            <w:r w:rsidRPr="00C17E4B">
              <w:rPr>
                <w:sz w:val="18"/>
                <w:szCs w:val="18"/>
                <w:shd w:val="clear" w:color="auto" w:fill="FFFFFF"/>
              </w:rPr>
              <w:t xml:space="preserve">un automātisku ugunsaizsardzības sistēmu – ugunsgrēka atklāšanas un trauksmes signalizācijas sistēmu, balss ugunsgrēka izziņošanas sistēmu, dūmu aizsardzības sistēmu un centralizētas izziņošanas sistēmu – </w:t>
            </w:r>
            <w:r w:rsidRPr="00BD0129">
              <w:rPr>
                <w:sz w:val="18"/>
                <w:szCs w:val="18"/>
                <w:shd w:val="clear" w:color="auto" w:fill="FFFFFF"/>
              </w:rPr>
              <w:t xml:space="preserve"> ekspertīze.</w:t>
            </w:r>
          </w:p>
        </w:tc>
      </w:tr>
      <w:tr w:rsidR="00A76D4F" w14:paraId="409CA3AD" w14:textId="77777777" w:rsidTr="00565963">
        <w:tc>
          <w:tcPr>
            <w:tcW w:w="810" w:type="dxa"/>
            <w:shd w:val="clear" w:color="auto" w:fill="FFFFFF" w:themeFill="background1"/>
            <w:vAlign w:val="center"/>
          </w:tcPr>
          <w:p w14:paraId="2180D92B"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28</w:t>
            </w:r>
          </w:p>
        </w:tc>
        <w:tc>
          <w:tcPr>
            <w:tcW w:w="3045" w:type="dxa"/>
            <w:shd w:val="clear" w:color="auto" w:fill="FFFFFF" w:themeFill="background1"/>
            <w:vAlign w:val="center"/>
          </w:tcPr>
          <w:p w14:paraId="6717FF1D"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Dzelzceļa sliežu ceļu ekspertīze</w:t>
            </w:r>
          </w:p>
        </w:tc>
        <w:tc>
          <w:tcPr>
            <w:tcW w:w="5246" w:type="dxa"/>
            <w:shd w:val="clear" w:color="auto" w:fill="FFFFFF" w:themeFill="background1"/>
            <w:vAlign w:val="center"/>
          </w:tcPr>
          <w:p w14:paraId="6D61162D" w14:textId="03DAFDC4" w:rsidR="00827506" w:rsidRPr="00FF316A" w:rsidRDefault="005E5CF5" w:rsidP="00565963">
            <w:pPr>
              <w:pStyle w:val="NormalWeb"/>
              <w:spacing w:before="0" w:beforeAutospacing="0" w:after="0" w:afterAutospacing="0"/>
              <w:jc w:val="both"/>
              <w:rPr>
                <w:sz w:val="18"/>
                <w:szCs w:val="18"/>
                <w:shd w:val="clear" w:color="auto" w:fill="FFFFFF"/>
              </w:rPr>
            </w:pPr>
            <w:proofErr w:type="spellStart"/>
            <w:r w:rsidRPr="00BD0129">
              <w:rPr>
                <w:sz w:val="18"/>
                <w:szCs w:val="18"/>
                <w:shd w:val="clear" w:color="auto" w:fill="FFFFFF"/>
              </w:rPr>
              <w:t>Būvspeciālists</w:t>
            </w:r>
            <w:proofErr w:type="spellEnd"/>
            <w:r w:rsidRPr="00BD0129">
              <w:rPr>
                <w:sz w:val="18"/>
                <w:szCs w:val="18"/>
                <w:shd w:val="clear" w:color="auto" w:fill="FFFFFF"/>
              </w:rPr>
              <w:t xml:space="preserve"> var veikt arī dzelzceļa signalizācijas sistēmu un dzelzceļa kontakttīklu ekspertīzi.</w:t>
            </w:r>
          </w:p>
        </w:tc>
      </w:tr>
      <w:tr w:rsidR="00A76D4F" w14:paraId="5FC621F8" w14:textId="77777777" w:rsidTr="00565963">
        <w:tc>
          <w:tcPr>
            <w:tcW w:w="810" w:type="dxa"/>
            <w:shd w:val="clear" w:color="auto" w:fill="FFFFFF" w:themeFill="background1"/>
            <w:vAlign w:val="center"/>
          </w:tcPr>
          <w:p w14:paraId="543FE9E8" w14:textId="77777777" w:rsidR="00772B9B" w:rsidRPr="00BD0129" w:rsidRDefault="005E5CF5" w:rsidP="00565963">
            <w:pPr>
              <w:pStyle w:val="NormalWeb"/>
              <w:spacing w:before="0" w:beforeAutospacing="0" w:after="0" w:afterAutospacing="0"/>
              <w:jc w:val="center"/>
              <w:rPr>
                <w:sz w:val="18"/>
                <w:szCs w:val="18"/>
              </w:rPr>
            </w:pPr>
            <w:r w:rsidRPr="00BD0129">
              <w:rPr>
                <w:sz w:val="18"/>
                <w:szCs w:val="18"/>
              </w:rPr>
              <w:t>29</w:t>
            </w:r>
          </w:p>
        </w:tc>
        <w:tc>
          <w:tcPr>
            <w:tcW w:w="3045" w:type="dxa"/>
            <w:shd w:val="clear" w:color="auto" w:fill="FFFFFF" w:themeFill="background1"/>
            <w:vAlign w:val="center"/>
          </w:tcPr>
          <w:p w14:paraId="32FD3CC1" w14:textId="77777777" w:rsidR="00772B9B" w:rsidRPr="00BD0129" w:rsidRDefault="005E5CF5" w:rsidP="00565963">
            <w:pPr>
              <w:rPr>
                <w:rFonts w:ascii="Times New Roman" w:hAnsi="Times New Roman" w:cs="Times New Roman"/>
                <w:sz w:val="18"/>
                <w:szCs w:val="18"/>
              </w:rPr>
            </w:pPr>
            <w:r w:rsidRPr="00BD0129">
              <w:rPr>
                <w:rFonts w:ascii="Times New Roman" w:hAnsi="Times New Roman" w:cs="Times New Roman"/>
                <w:sz w:val="18"/>
                <w:szCs w:val="18"/>
              </w:rPr>
              <w:t>Elektronisko sakaru sistēmu un tīklu ekspertīze</w:t>
            </w:r>
          </w:p>
        </w:tc>
        <w:tc>
          <w:tcPr>
            <w:tcW w:w="5246" w:type="dxa"/>
            <w:shd w:val="clear" w:color="auto" w:fill="FFFFFF" w:themeFill="background1"/>
            <w:vAlign w:val="center"/>
          </w:tcPr>
          <w:p w14:paraId="6AFBFA81" w14:textId="6EFFD1BC" w:rsidR="00827506" w:rsidRPr="00FF316A" w:rsidRDefault="005E5CF5" w:rsidP="00565963">
            <w:pPr>
              <w:pStyle w:val="NormalWeb"/>
              <w:spacing w:before="0" w:beforeAutospacing="0" w:after="0" w:afterAutospacing="0"/>
              <w:jc w:val="both"/>
              <w:rPr>
                <w:sz w:val="18"/>
                <w:szCs w:val="18"/>
                <w:shd w:val="clear" w:color="auto" w:fill="FFFFFF"/>
              </w:rPr>
            </w:pPr>
            <w:r w:rsidRPr="00BD0129">
              <w:rPr>
                <w:sz w:val="18"/>
                <w:szCs w:val="18"/>
                <w:shd w:val="clear" w:color="auto" w:fill="FFFFFF"/>
              </w:rPr>
              <w:t>Elektronisko sakaru sistēmu un tīklu ekspertīzes darbības sfērās ietilpst automātisku ugunsaizsardzības sistēmu – ugunsgrēka atklāšanas un trauksmes signalizācijas sistēmu un balss ugunsgrēka izziņošanas sistēmu</w:t>
            </w:r>
            <w:r w:rsidR="00827506">
              <w:rPr>
                <w:sz w:val="18"/>
                <w:szCs w:val="18"/>
                <w:shd w:val="clear" w:color="auto" w:fill="FFFFFF"/>
              </w:rPr>
              <w:t xml:space="preserve">, kā arī </w:t>
            </w:r>
            <w:r w:rsidR="00827506" w:rsidRPr="00C17E4B">
              <w:rPr>
                <w:sz w:val="18"/>
                <w:szCs w:val="18"/>
                <w:shd w:val="clear" w:color="auto" w:fill="FFFFFF"/>
              </w:rPr>
              <w:t>automātisko ugunsaizsardzības un ugunsdzēsības sistēmu automātikas un vadības daļas</w:t>
            </w:r>
            <w:r w:rsidR="00827506">
              <w:rPr>
                <w:sz w:val="18"/>
                <w:szCs w:val="18"/>
                <w:shd w:val="clear" w:color="auto" w:fill="FFFFFF"/>
              </w:rPr>
              <w:t xml:space="preserve"> </w:t>
            </w:r>
            <w:r w:rsidRPr="00BD0129">
              <w:rPr>
                <w:sz w:val="18"/>
                <w:szCs w:val="18"/>
                <w:shd w:val="clear" w:color="auto" w:fill="FFFFFF"/>
              </w:rPr>
              <w:t>būvju ekspertīze.</w:t>
            </w:r>
          </w:p>
        </w:tc>
      </w:tr>
    </w:tbl>
    <w:p w14:paraId="4F1211B7" w14:textId="77777777" w:rsidR="00772B9B" w:rsidRPr="00BD0129" w:rsidRDefault="00772B9B" w:rsidP="00772B9B">
      <w:pPr>
        <w:tabs>
          <w:tab w:val="left" w:pos="5685"/>
        </w:tabs>
        <w:jc w:val="center"/>
        <w:rPr>
          <w:rFonts w:ascii="Times New Roman" w:hAnsi="Times New Roman" w:cs="Times New Roman"/>
          <w:sz w:val="24"/>
          <w:szCs w:val="24"/>
        </w:rPr>
      </w:pPr>
    </w:p>
    <w:p w14:paraId="033E8588" w14:textId="77777777" w:rsidR="00772B9B" w:rsidRPr="0074638E" w:rsidRDefault="005E5CF5" w:rsidP="00EB2638">
      <w:pPr>
        <w:pStyle w:val="ListParagraph"/>
        <w:numPr>
          <w:ilvl w:val="0"/>
          <w:numId w:val="1"/>
        </w:numPr>
        <w:jc w:val="both"/>
        <w:rPr>
          <w:rFonts w:ascii="Times New Roman" w:hAnsi="Times New Roman" w:cs="Times New Roman"/>
          <w:b/>
          <w:sz w:val="24"/>
          <w:szCs w:val="24"/>
        </w:rPr>
      </w:pPr>
      <w:r w:rsidRPr="0074638E">
        <w:rPr>
          <w:rFonts w:ascii="Times New Roman" w:hAnsi="Times New Roman" w:cs="Times New Roman"/>
          <w:b/>
          <w:sz w:val="24"/>
          <w:szCs w:val="24"/>
        </w:rPr>
        <w:t>Sertifikāta iegūšanai nepieciešamās kompetences prasības</w:t>
      </w:r>
    </w:p>
    <w:p w14:paraId="1095630A" w14:textId="2AEDE6FC" w:rsidR="00772B9B" w:rsidRPr="0074638E"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74638E">
        <w:rPr>
          <w:rFonts w:ascii="Times New Roman" w:eastAsia="Times New Roman" w:hAnsi="Times New Roman" w:cs="Times New Roman"/>
          <w:bCs/>
          <w:sz w:val="24"/>
          <w:szCs w:val="24"/>
        </w:rPr>
        <w:t xml:space="preserve">Lai </w:t>
      </w:r>
      <w:r w:rsidRPr="00EB2638">
        <w:rPr>
          <w:rFonts w:ascii="Times New Roman" w:hAnsi="Times New Roman" w:cs="Times New Roman"/>
          <w:sz w:val="24"/>
          <w:szCs w:val="24"/>
        </w:rPr>
        <w:t>pretendētu</w:t>
      </w:r>
      <w:r w:rsidRPr="0074638E">
        <w:rPr>
          <w:rFonts w:ascii="Times New Roman" w:eastAsia="Times New Roman" w:hAnsi="Times New Roman" w:cs="Times New Roman"/>
          <w:bCs/>
          <w:sz w:val="24"/>
          <w:szCs w:val="24"/>
        </w:rPr>
        <w:t xml:space="preserve"> uz </w:t>
      </w:r>
      <w:proofErr w:type="spellStart"/>
      <w:r w:rsidRPr="0074638E">
        <w:rPr>
          <w:rFonts w:ascii="Times New Roman" w:eastAsia="Times New Roman" w:hAnsi="Times New Roman" w:cs="Times New Roman"/>
          <w:bCs/>
          <w:sz w:val="24"/>
          <w:szCs w:val="24"/>
        </w:rPr>
        <w:t>būvspeciālista</w:t>
      </w:r>
      <w:proofErr w:type="spellEnd"/>
      <w:r w:rsidRPr="0074638E">
        <w:rPr>
          <w:rFonts w:ascii="Times New Roman" w:eastAsia="Times New Roman" w:hAnsi="Times New Roman" w:cs="Times New Roman"/>
          <w:bCs/>
          <w:sz w:val="24"/>
          <w:szCs w:val="24"/>
        </w:rPr>
        <w:t xml:space="preserve"> sertifikāta iegūšanu būvekspertīzes specialitātē 1.</w:t>
      </w:r>
      <w:r w:rsidR="00D64953">
        <w:rPr>
          <w:rFonts w:ascii="Times New Roman" w:eastAsia="Times New Roman" w:hAnsi="Times New Roman" w:cs="Times New Roman"/>
          <w:bCs/>
          <w:sz w:val="24"/>
          <w:szCs w:val="24"/>
        </w:rPr>
        <w:t xml:space="preserve"> </w:t>
      </w:r>
      <w:r w:rsidRPr="0074638E">
        <w:rPr>
          <w:rFonts w:ascii="Times New Roman" w:eastAsia="Times New Roman" w:hAnsi="Times New Roman" w:cs="Times New Roman"/>
          <w:bCs/>
          <w:sz w:val="24"/>
          <w:szCs w:val="24"/>
        </w:rPr>
        <w:t>tabulā norādītajās darbības sfērās, pretendentam ir jāatbilst šādām kompetences prasībām:</w:t>
      </w:r>
    </w:p>
    <w:p w14:paraId="4E0525B1" w14:textId="77777777" w:rsidR="00772B9B" w:rsidRPr="0074638E" w:rsidRDefault="005E5CF5" w:rsidP="00174FB3">
      <w:pPr>
        <w:pStyle w:val="ListParagraph"/>
        <w:numPr>
          <w:ilvl w:val="2"/>
          <w:numId w:val="1"/>
        </w:numPr>
        <w:jc w:val="both"/>
        <w:rPr>
          <w:rFonts w:ascii="Times New Roman" w:hAnsi="Times New Roman" w:cs="Times New Roman"/>
          <w:sz w:val="24"/>
          <w:szCs w:val="24"/>
        </w:rPr>
      </w:pPr>
      <w:bookmarkStart w:id="1" w:name="_Hlk526344928"/>
      <w:r w:rsidRPr="0074638E">
        <w:rPr>
          <w:rFonts w:ascii="Times New Roman" w:hAnsi="Times New Roman" w:cs="Times New Roman"/>
          <w:sz w:val="24"/>
          <w:szCs w:val="24"/>
        </w:rPr>
        <w:t>iegūta otrā līmeņa profesionālā augstākā izglītība būvinženiera vai saistītā inženierzinātnes profesijā, vai arhitekta profesijā (tikai būvprojektu arhitektūras risinājumu ekspertīzes darbības sfērā)</w:t>
      </w:r>
      <w:r>
        <w:rPr>
          <w:rFonts w:ascii="Times New Roman" w:hAnsi="Times New Roman" w:cs="Times New Roman"/>
          <w:sz w:val="24"/>
          <w:szCs w:val="24"/>
        </w:rPr>
        <w:t>;</w:t>
      </w:r>
      <w:bookmarkEnd w:id="1"/>
    </w:p>
    <w:p w14:paraId="3683C47A" w14:textId="77777777" w:rsidR="00772B9B" w:rsidRDefault="005E5CF5" w:rsidP="00174FB3">
      <w:pPr>
        <w:pStyle w:val="ListParagraph"/>
        <w:numPr>
          <w:ilvl w:val="2"/>
          <w:numId w:val="1"/>
        </w:numPr>
        <w:jc w:val="both"/>
        <w:rPr>
          <w:rFonts w:ascii="Times New Roman" w:hAnsi="Times New Roman" w:cs="Times New Roman"/>
          <w:sz w:val="24"/>
          <w:szCs w:val="24"/>
        </w:rPr>
      </w:pPr>
      <w:r w:rsidRPr="0074638E">
        <w:rPr>
          <w:rFonts w:ascii="Times New Roman" w:hAnsi="Times New Roman" w:cs="Times New Roman"/>
          <w:sz w:val="24"/>
          <w:szCs w:val="24"/>
        </w:rPr>
        <w:t xml:space="preserve">iegūts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sertifikāts: </w:t>
      </w:r>
    </w:p>
    <w:p w14:paraId="7815599A" w14:textId="19C9529F" w:rsidR="00491371" w:rsidRDefault="005E5CF5" w:rsidP="003D6E1C">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 xml:space="preserve">projektēšanas specialitātē attiecīgajā darbības sfērā, pretendējot uz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sertifikāta iegūšanu būvprojekta ekspertīzes darbības sfērās;</w:t>
      </w:r>
    </w:p>
    <w:p w14:paraId="661B6E9E" w14:textId="0815AF11" w:rsidR="00772B9B" w:rsidRDefault="005E5CF5" w:rsidP="003D6E1C">
      <w:pPr>
        <w:pStyle w:val="ListParagraph"/>
        <w:numPr>
          <w:ilvl w:val="3"/>
          <w:numId w:val="1"/>
        </w:numPr>
        <w:ind w:left="1134" w:hanging="861"/>
        <w:jc w:val="both"/>
        <w:rPr>
          <w:rFonts w:ascii="Times New Roman" w:hAnsi="Times New Roman" w:cs="Times New Roman"/>
          <w:sz w:val="24"/>
          <w:szCs w:val="24"/>
        </w:rPr>
      </w:pPr>
      <w:r w:rsidRPr="003D6E1C">
        <w:rPr>
          <w:rFonts w:ascii="Times New Roman" w:hAnsi="Times New Roman" w:cs="Times New Roman"/>
          <w:sz w:val="24"/>
          <w:szCs w:val="24"/>
        </w:rPr>
        <w:t xml:space="preserve">arhitektūras </w:t>
      </w:r>
      <w:r w:rsidR="004B3D72" w:rsidRPr="003D6E1C">
        <w:rPr>
          <w:rFonts w:ascii="Times New Roman" w:hAnsi="Times New Roman" w:cs="Times New Roman"/>
          <w:sz w:val="24"/>
          <w:szCs w:val="24"/>
        </w:rPr>
        <w:t>specialitātē</w:t>
      </w:r>
      <w:r w:rsidRPr="003D6E1C">
        <w:rPr>
          <w:rFonts w:ascii="Times New Roman" w:hAnsi="Times New Roman" w:cs="Times New Roman"/>
          <w:sz w:val="24"/>
          <w:szCs w:val="24"/>
        </w:rPr>
        <w:t xml:space="preserve">, pretendējot uz </w:t>
      </w:r>
      <w:proofErr w:type="spellStart"/>
      <w:r w:rsidRPr="003D6E1C">
        <w:rPr>
          <w:rFonts w:ascii="Times New Roman" w:hAnsi="Times New Roman" w:cs="Times New Roman"/>
          <w:sz w:val="24"/>
          <w:szCs w:val="24"/>
        </w:rPr>
        <w:t>būvspeciālista</w:t>
      </w:r>
      <w:proofErr w:type="spellEnd"/>
      <w:r w:rsidRPr="003D6E1C">
        <w:rPr>
          <w:rFonts w:ascii="Times New Roman" w:hAnsi="Times New Roman" w:cs="Times New Roman"/>
          <w:sz w:val="24"/>
          <w:szCs w:val="24"/>
        </w:rPr>
        <w:t xml:space="preserve"> sertifikāta iegūšanu būvprojektu arhitektūras risinājumu ekspertīzes darbības sfērā;</w:t>
      </w:r>
    </w:p>
    <w:p w14:paraId="456F7F09" w14:textId="5FBD2EE8" w:rsidR="00772B9B" w:rsidRPr="003D6E1C" w:rsidRDefault="005E5CF5" w:rsidP="003D6E1C">
      <w:pPr>
        <w:pStyle w:val="ListParagraph"/>
        <w:numPr>
          <w:ilvl w:val="3"/>
          <w:numId w:val="1"/>
        </w:numPr>
        <w:ind w:left="1134" w:hanging="861"/>
        <w:jc w:val="both"/>
        <w:rPr>
          <w:rFonts w:ascii="Times New Roman" w:hAnsi="Times New Roman" w:cs="Times New Roman"/>
          <w:sz w:val="24"/>
          <w:szCs w:val="24"/>
        </w:rPr>
      </w:pPr>
      <w:r w:rsidRPr="003D6E1C">
        <w:rPr>
          <w:rFonts w:ascii="Times New Roman" w:hAnsi="Times New Roman" w:cs="Times New Roman"/>
          <w:sz w:val="24"/>
          <w:szCs w:val="24"/>
        </w:rPr>
        <w:t xml:space="preserve">būvuzraudzības vai būvdarbu vadīšanas specialitātē attiecīgā darbības sfērā, pretendējot uz </w:t>
      </w:r>
      <w:proofErr w:type="spellStart"/>
      <w:r w:rsidRPr="003D6E1C">
        <w:rPr>
          <w:rFonts w:ascii="Times New Roman" w:hAnsi="Times New Roman" w:cs="Times New Roman"/>
          <w:sz w:val="24"/>
          <w:szCs w:val="24"/>
        </w:rPr>
        <w:t>būvspeciālista</w:t>
      </w:r>
      <w:proofErr w:type="spellEnd"/>
      <w:r w:rsidRPr="003D6E1C">
        <w:rPr>
          <w:rFonts w:ascii="Times New Roman" w:hAnsi="Times New Roman" w:cs="Times New Roman"/>
          <w:sz w:val="24"/>
          <w:szCs w:val="24"/>
        </w:rPr>
        <w:t xml:space="preserve"> sertifikāta iegūšanu būvju ekspertīzes darbības sfērās;</w:t>
      </w:r>
    </w:p>
    <w:p w14:paraId="61695BBA" w14:textId="77777777" w:rsidR="00772B9B" w:rsidRPr="0074638E" w:rsidRDefault="005E5CF5" w:rsidP="00174FB3">
      <w:pPr>
        <w:pStyle w:val="ListParagraph"/>
        <w:numPr>
          <w:ilvl w:val="2"/>
          <w:numId w:val="1"/>
        </w:numPr>
        <w:jc w:val="both"/>
        <w:rPr>
          <w:rFonts w:ascii="Times New Roman" w:hAnsi="Times New Roman" w:cs="Times New Roman"/>
          <w:sz w:val="24"/>
          <w:szCs w:val="24"/>
        </w:rPr>
      </w:pPr>
      <w:r w:rsidRPr="0074638E">
        <w:rPr>
          <w:rFonts w:ascii="Times New Roman" w:hAnsi="Times New Roman" w:cs="Times New Roman"/>
          <w:sz w:val="24"/>
          <w:szCs w:val="24"/>
        </w:rPr>
        <w:t xml:space="preserve">patstāvīgās prakses tiesības pēc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sertifikāta iegūšanas arhitektūras, projektēšanas, būvdarbu vadīšanas vai būvuzraudzības specialitātes attiecīgajā darbības sfērā ir vismaz 7 gadi</w:t>
      </w:r>
      <w:r>
        <w:rPr>
          <w:rFonts w:ascii="Times New Roman" w:hAnsi="Times New Roman" w:cs="Times New Roman"/>
          <w:sz w:val="24"/>
          <w:szCs w:val="24"/>
        </w:rPr>
        <w:t>;</w:t>
      </w:r>
    </w:p>
    <w:p w14:paraId="21F0D825" w14:textId="77777777" w:rsidR="00772B9B" w:rsidRPr="0074638E" w:rsidRDefault="005E5CF5" w:rsidP="00174FB3">
      <w:pPr>
        <w:pStyle w:val="ListParagraph"/>
        <w:numPr>
          <w:ilvl w:val="2"/>
          <w:numId w:val="1"/>
        </w:numPr>
        <w:jc w:val="both"/>
        <w:rPr>
          <w:rFonts w:ascii="Times New Roman" w:hAnsi="Times New Roman" w:cs="Times New Roman"/>
          <w:sz w:val="24"/>
          <w:szCs w:val="24"/>
        </w:rPr>
      </w:pPr>
      <w:r w:rsidRPr="0074638E">
        <w:rPr>
          <w:rFonts w:ascii="Times New Roman" w:hAnsi="Times New Roman" w:cs="Times New Roman"/>
          <w:sz w:val="24"/>
          <w:szCs w:val="24"/>
        </w:rPr>
        <w:t xml:space="preserve">pēdējos piecos gados </w:t>
      </w:r>
      <w:proofErr w:type="spellStart"/>
      <w:r w:rsidRPr="0074638E">
        <w:rPr>
          <w:rFonts w:ascii="Times New Roman" w:hAnsi="Times New Roman" w:cs="Times New Roman"/>
          <w:sz w:val="24"/>
          <w:szCs w:val="24"/>
        </w:rPr>
        <w:t>būvspeciālistam</w:t>
      </w:r>
      <w:proofErr w:type="spellEnd"/>
      <w:r w:rsidRPr="0074638E">
        <w:rPr>
          <w:rFonts w:ascii="Times New Roman" w:hAnsi="Times New Roman" w:cs="Times New Roman"/>
          <w:sz w:val="24"/>
          <w:szCs w:val="24"/>
        </w:rPr>
        <w:t xml:space="preserve"> nav konstatēti tādi profesionālās darbības un profesionālās ētikas pārkāpumi, par kuriem ir izteikti divi brīdinājumi vai apturēta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sertifikāta darbība, izņemot, ja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sertifikāta darbība ir bijusi apturēta par to, ka:</w:t>
      </w:r>
    </w:p>
    <w:p w14:paraId="53A28835" w14:textId="1EDF013E" w:rsidR="00D33CBC" w:rsidRPr="0074638E" w:rsidRDefault="00D33CBC" w:rsidP="00D33CBC">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līdz </w:t>
      </w:r>
      <w:r>
        <w:rPr>
          <w:rFonts w:ascii="Times New Roman" w:hAnsi="Times New Roman" w:cs="Times New Roman"/>
          <w:sz w:val="24"/>
          <w:szCs w:val="24"/>
        </w:rPr>
        <w:t>BSN noteiktajam termiņam</w:t>
      </w:r>
      <w:r w:rsidRPr="0074638E">
        <w:rPr>
          <w:rFonts w:ascii="Times New Roman" w:hAnsi="Times New Roman" w:cs="Times New Roman"/>
          <w:sz w:val="24"/>
          <w:szCs w:val="24"/>
        </w:rPr>
        <w:t xml:space="preserve"> </w:t>
      </w:r>
      <w:proofErr w:type="spellStart"/>
      <w:r w:rsidRPr="0074638E">
        <w:rPr>
          <w:rFonts w:ascii="Times New Roman" w:hAnsi="Times New Roman" w:cs="Times New Roman"/>
          <w:sz w:val="24"/>
          <w:szCs w:val="24"/>
        </w:rPr>
        <w:t>Būvspeciālistu</w:t>
      </w:r>
      <w:proofErr w:type="spellEnd"/>
      <w:r w:rsidRPr="0074638E">
        <w:rPr>
          <w:rFonts w:ascii="Times New Roman" w:hAnsi="Times New Roman" w:cs="Times New Roman"/>
          <w:sz w:val="24"/>
          <w:szCs w:val="24"/>
        </w:rPr>
        <w:t xml:space="preserve"> reģistrā nav ievadījis informāciju par iepriekšējā kalendāra gadā apgūtajām profesionālās pilnveides programmām, semināriem un citiem kompetenci paaugstinošiem pasākumiem;</w:t>
      </w:r>
    </w:p>
    <w:p w14:paraId="1D502875" w14:textId="77777777" w:rsidR="00D33CBC" w:rsidRPr="0074638E" w:rsidRDefault="00D33CBC" w:rsidP="00D33CBC">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līdz </w:t>
      </w:r>
      <w:r>
        <w:rPr>
          <w:rFonts w:ascii="Times New Roman" w:hAnsi="Times New Roman" w:cs="Times New Roman"/>
          <w:sz w:val="24"/>
          <w:szCs w:val="24"/>
        </w:rPr>
        <w:t>BSN noteiktajam termiņam</w:t>
      </w:r>
      <w:r w:rsidRPr="0074638E">
        <w:rPr>
          <w:rFonts w:ascii="Times New Roman" w:hAnsi="Times New Roman" w:cs="Times New Roman"/>
          <w:sz w:val="24"/>
          <w:szCs w:val="24"/>
        </w:rPr>
        <w:t xml:space="preserve"> </w:t>
      </w:r>
      <w:proofErr w:type="spellStart"/>
      <w:r w:rsidRPr="0074638E">
        <w:rPr>
          <w:rFonts w:ascii="Times New Roman" w:hAnsi="Times New Roman" w:cs="Times New Roman"/>
          <w:sz w:val="24"/>
          <w:szCs w:val="24"/>
        </w:rPr>
        <w:t>Būvspeciālistu</w:t>
      </w:r>
      <w:proofErr w:type="spellEnd"/>
      <w:r w:rsidRPr="0074638E">
        <w:rPr>
          <w:rFonts w:ascii="Times New Roman" w:hAnsi="Times New Roman" w:cs="Times New Roman"/>
          <w:sz w:val="24"/>
          <w:szCs w:val="24"/>
        </w:rPr>
        <w:t xml:space="preserve"> reģistrā nav ievadījis informāciju par iepriekšējā kalendār</w:t>
      </w:r>
      <w:r>
        <w:rPr>
          <w:rFonts w:ascii="Times New Roman" w:hAnsi="Times New Roman" w:cs="Times New Roman"/>
          <w:sz w:val="24"/>
          <w:szCs w:val="24"/>
        </w:rPr>
        <w:t>ā</w:t>
      </w:r>
      <w:r w:rsidRPr="0074638E">
        <w:rPr>
          <w:rFonts w:ascii="Times New Roman" w:hAnsi="Times New Roman" w:cs="Times New Roman"/>
          <w:sz w:val="24"/>
          <w:szCs w:val="24"/>
        </w:rPr>
        <w:t xml:space="preserve"> gadā veikto patstāvīgo praksi;</w:t>
      </w:r>
    </w:p>
    <w:p w14:paraId="272CC3C2" w14:textId="77777777" w:rsidR="00D33CBC" w:rsidRDefault="00D33CBC" w:rsidP="00D33CBC">
      <w:pPr>
        <w:pStyle w:val="ListParagraph"/>
        <w:numPr>
          <w:ilvl w:val="3"/>
          <w:numId w:val="1"/>
        </w:numPr>
        <w:ind w:left="1134" w:hanging="861"/>
        <w:jc w:val="both"/>
        <w:rPr>
          <w:rFonts w:ascii="Times New Roman" w:hAnsi="Times New Roman" w:cs="Times New Roman"/>
          <w:sz w:val="24"/>
          <w:szCs w:val="24"/>
        </w:rPr>
      </w:pPr>
      <w:proofErr w:type="spellStart"/>
      <w:r w:rsidRPr="00830A67">
        <w:rPr>
          <w:rFonts w:ascii="Times New Roman" w:hAnsi="Times New Roman" w:cs="Times New Roman"/>
          <w:sz w:val="24"/>
          <w:szCs w:val="24"/>
        </w:rPr>
        <w:t>būvspeciālists</w:t>
      </w:r>
      <w:proofErr w:type="spellEnd"/>
      <w:r w:rsidRPr="00830A67">
        <w:rPr>
          <w:rFonts w:ascii="Times New Roman" w:hAnsi="Times New Roman" w:cs="Times New Roman"/>
          <w:sz w:val="24"/>
          <w:szCs w:val="24"/>
        </w:rPr>
        <w:t xml:space="preserve"> līdz </w:t>
      </w:r>
      <w:r>
        <w:rPr>
          <w:rFonts w:ascii="Times New Roman" w:hAnsi="Times New Roman" w:cs="Times New Roman"/>
          <w:sz w:val="24"/>
          <w:szCs w:val="24"/>
        </w:rPr>
        <w:t>BSN noteiktajam termiņam</w:t>
      </w:r>
      <w:r w:rsidRPr="0074638E">
        <w:rPr>
          <w:rFonts w:ascii="Times New Roman" w:hAnsi="Times New Roman" w:cs="Times New Roman"/>
          <w:sz w:val="24"/>
          <w:szCs w:val="24"/>
        </w:rPr>
        <w:t xml:space="preserve"> </w:t>
      </w:r>
      <w:r w:rsidRPr="00830A67">
        <w:rPr>
          <w:rFonts w:ascii="Times New Roman" w:hAnsi="Times New Roman" w:cs="Times New Roman"/>
          <w:sz w:val="24"/>
          <w:szCs w:val="24"/>
        </w:rPr>
        <w:t>nav samaksājis patstāvīgās prakses uzraudzības gada maksu;</w:t>
      </w:r>
    </w:p>
    <w:p w14:paraId="7B5EA63D" w14:textId="77777777" w:rsidR="00D33CBC" w:rsidRPr="00AE42CD" w:rsidRDefault="00D33CBC" w:rsidP="00D33CBC">
      <w:pPr>
        <w:pStyle w:val="ListParagraph"/>
        <w:numPr>
          <w:ilvl w:val="3"/>
          <w:numId w:val="1"/>
        </w:numPr>
        <w:ind w:left="1134" w:hanging="861"/>
        <w:jc w:val="both"/>
        <w:rPr>
          <w:rFonts w:ascii="Times New Roman" w:hAnsi="Times New Roman" w:cs="Times New Roman"/>
          <w:sz w:val="24"/>
          <w:szCs w:val="24"/>
        </w:rPr>
      </w:pPr>
      <w:proofErr w:type="spellStart"/>
      <w:r w:rsidRPr="00AE42CD">
        <w:rPr>
          <w:rFonts w:ascii="Times New Roman" w:hAnsi="Times New Roman" w:cs="Times New Roman"/>
          <w:sz w:val="24"/>
          <w:szCs w:val="24"/>
        </w:rPr>
        <w:t>būvspeciālists</w:t>
      </w:r>
      <w:proofErr w:type="spellEnd"/>
      <w:r w:rsidRPr="00AE42CD">
        <w:rPr>
          <w:rFonts w:ascii="Times New Roman" w:hAnsi="Times New Roman" w:cs="Times New Roman"/>
          <w:color w:val="4472C4" w:themeColor="accent1"/>
          <w:sz w:val="24"/>
          <w:szCs w:val="24"/>
        </w:rPr>
        <w:t xml:space="preserve"> </w:t>
      </w:r>
      <w:r w:rsidRPr="00AE42CD">
        <w:rPr>
          <w:rFonts w:ascii="Times New Roman" w:hAnsi="Times New Roman" w:cs="Times New Roman"/>
          <w:sz w:val="24"/>
          <w:szCs w:val="24"/>
        </w:rPr>
        <w:t xml:space="preserve">BSN noteiktajā termiņā nav sniedzis tās pieprasīto informāciju, kas nepieciešama </w:t>
      </w:r>
      <w:proofErr w:type="spellStart"/>
      <w:r w:rsidRPr="00AE42CD">
        <w:rPr>
          <w:rFonts w:ascii="Times New Roman" w:hAnsi="Times New Roman" w:cs="Times New Roman"/>
          <w:sz w:val="24"/>
          <w:szCs w:val="24"/>
        </w:rPr>
        <w:t>būvspeciālista</w:t>
      </w:r>
      <w:proofErr w:type="spellEnd"/>
      <w:r w:rsidRPr="00AE42CD">
        <w:rPr>
          <w:rFonts w:ascii="Times New Roman" w:hAnsi="Times New Roman" w:cs="Times New Roman"/>
          <w:sz w:val="24"/>
          <w:szCs w:val="24"/>
        </w:rPr>
        <w:t xml:space="preserve"> patstāvīgās prakses izvērtēšanai;</w:t>
      </w:r>
    </w:p>
    <w:p w14:paraId="791C7E46" w14:textId="77777777" w:rsidR="00D33CBC" w:rsidRDefault="00D33CBC" w:rsidP="00D33CBC">
      <w:pPr>
        <w:pStyle w:val="ListParagraph"/>
        <w:numPr>
          <w:ilvl w:val="3"/>
          <w:numId w:val="1"/>
        </w:numPr>
        <w:ind w:left="1134" w:hanging="861"/>
        <w:jc w:val="both"/>
        <w:rPr>
          <w:rFonts w:ascii="Times New Roman" w:hAnsi="Times New Roman" w:cs="Times New Roman"/>
          <w:sz w:val="24"/>
          <w:szCs w:val="24"/>
        </w:rPr>
      </w:pPr>
      <w:proofErr w:type="spellStart"/>
      <w:r w:rsidRPr="00AE42CD">
        <w:rPr>
          <w:rFonts w:ascii="Times New Roman" w:hAnsi="Times New Roman" w:cs="Times New Roman"/>
          <w:sz w:val="24"/>
          <w:szCs w:val="24"/>
        </w:rPr>
        <w:t>būvspeciālists</w:t>
      </w:r>
      <w:proofErr w:type="spellEnd"/>
      <w:r w:rsidRPr="00AE42CD">
        <w:rPr>
          <w:rFonts w:ascii="Times New Roman" w:hAnsi="Times New Roman" w:cs="Times New Roman"/>
          <w:sz w:val="24"/>
          <w:szCs w:val="24"/>
        </w:rPr>
        <w:t xml:space="preserve"> atkārtoti nav nokārtojis</w:t>
      </w:r>
      <w:r>
        <w:rPr>
          <w:rFonts w:ascii="Times New Roman" w:hAnsi="Times New Roman" w:cs="Times New Roman"/>
          <w:sz w:val="24"/>
          <w:szCs w:val="24"/>
        </w:rPr>
        <w:t xml:space="preserve"> pārbaudi kompetenču, prasmju un zināšanu līmeņa novērtēšanai;</w:t>
      </w:r>
    </w:p>
    <w:p w14:paraId="5525370B" w14:textId="77777777" w:rsidR="00D33CBC" w:rsidRDefault="00D33CBC" w:rsidP="00D33CBC">
      <w:pPr>
        <w:pStyle w:val="ListParagraph"/>
        <w:numPr>
          <w:ilvl w:val="3"/>
          <w:numId w:val="1"/>
        </w:numPr>
        <w:ind w:left="1134" w:hanging="861"/>
        <w:jc w:val="both"/>
        <w:rPr>
          <w:rFonts w:ascii="Times New Roman" w:hAnsi="Times New Roman" w:cs="Times New Roman"/>
          <w:sz w:val="24"/>
          <w:szCs w:val="24"/>
        </w:rPr>
      </w:pPr>
      <w:proofErr w:type="spellStart"/>
      <w:r>
        <w:rPr>
          <w:rFonts w:ascii="Times New Roman" w:hAnsi="Times New Roman" w:cs="Times New Roman"/>
          <w:sz w:val="24"/>
          <w:szCs w:val="24"/>
        </w:rPr>
        <w:t>būvspeciālists</w:t>
      </w:r>
      <w:proofErr w:type="spellEnd"/>
      <w:r>
        <w:rPr>
          <w:rFonts w:ascii="Times New Roman" w:hAnsi="Times New Roman" w:cs="Times New Roman"/>
          <w:sz w:val="24"/>
          <w:szCs w:val="24"/>
        </w:rPr>
        <w:t xml:space="preserve"> nav ieradies uz atkārtotu pārbaudi kompetenču, prasmju un zināšanu līmeņa novērtēšanai un nav paziņojis objektīvu neierašanās iemeslu;</w:t>
      </w:r>
    </w:p>
    <w:p w14:paraId="0FBD8554" w14:textId="77777777" w:rsidR="00D33CBC" w:rsidRPr="00EE7537" w:rsidRDefault="00D33CBC" w:rsidP="00D33CBC">
      <w:pPr>
        <w:pStyle w:val="ListParagraph"/>
        <w:numPr>
          <w:ilvl w:val="3"/>
          <w:numId w:val="1"/>
        </w:numPr>
        <w:ind w:left="1134" w:hanging="861"/>
        <w:jc w:val="both"/>
        <w:rPr>
          <w:rFonts w:ascii="Times New Roman" w:hAnsi="Times New Roman" w:cs="Times New Roman"/>
          <w:sz w:val="24"/>
          <w:szCs w:val="24"/>
        </w:rPr>
      </w:pPr>
      <w:r w:rsidRPr="00EE7537">
        <w:rPr>
          <w:rFonts w:ascii="Times New Roman" w:hAnsi="Times New Roman" w:cs="Times New Roman"/>
          <w:sz w:val="24"/>
          <w:szCs w:val="24"/>
        </w:rPr>
        <w:t xml:space="preserve">saņemta informācija no Valsts valodas centra, ka Latvijas Republikā profesionālo kvalifikāciju ieguvuša </w:t>
      </w:r>
      <w:proofErr w:type="spellStart"/>
      <w:r w:rsidRPr="00EE7537">
        <w:rPr>
          <w:rFonts w:ascii="Times New Roman" w:hAnsi="Times New Roman" w:cs="Times New Roman"/>
          <w:sz w:val="24"/>
          <w:szCs w:val="24"/>
        </w:rPr>
        <w:t>būvspeciālista</w:t>
      </w:r>
      <w:proofErr w:type="spellEnd"/>
      <w:r w:rsidRPr="00EE7537">
        <w:rPr>
          <w:rFonts w:ascii="Times New Roman" w:hAnsi="Times New Roman" w:cs="Times New Roman"/>
          <w:sz w:val="24"/>
          <w:szCs w:val="24"/>
        </w:rPr>
        <w:t xml:space="preserve"> valsts valodas lietojums neatbilst normatīvajos aktos noteiktajam valsts valodas zināšanu un prasmju līmenim.</w:t>
      </w:r>
    </w:p>
    <w:p w14:paraId="401AD6E9" w14:textId="74B0A34E" w:rsidR="00772B9B" w:rsidRDefault="005E5CF5" w:rsidP="001B259B">
      <w:pPr>
        <w:pStyle w:val="ListParagraph"/>
        <w:numPr>
          <w:ilvl w:val="2"/>
          <w:numId w:val="1"/>
        </w:numPr>
        <w:jc w:val="both"/>
        <w:rPr>
          <w:rFonts w:ascii="Times New Roman" w:hAnsi="Times New Roman" w:cs="Times New Roman"/>
          <w:sz w:val="24"/>
          <w:szCs w:val="24"/>
        </w:rPr>
      </w:pPr>
      <w:r w:rsidRPr="00830A67">
        <w:rPr>
          <w:rFonts w:ascii="Times New Roman" w:hAnsi="Times New Roman" w:cs="Times New Roman"/>
          <w:sz w:val="24"/>
          <w:szCs w:val="24"/>
        </w:rPr>
        <w:t>pēdējos 10 gados attiecīgajā darbības sfērā ir izstrādājis vismaz trīs trešās grupas būvju būvprojektus vai būvprojekta sadaļas, ja pretendents vēlas iegūt patstāvīgās prakses tiesības veikt ekspertīzes trešās grupas būvju būvprojektiem.</w:t>
      </w:r>
    </w:p>
    <w:p w14:paraId="60B37CA3" w14:textId="77777777" w:rsidR="00772B9B" w:rsidRPr="0074638E" w:rsidRDefault="00772B9B" w:rsidP="00772B9B">
      <w:pPr>
        <w:spacing w:after="0"/>
        <w:ind w:left="1134" w:hanging="708"/>
        <w:jc w:val="both"/>
        <w:rPr>
          <w:rFonts w:ascii="Times New Roman" w:hAnsi="Times New Roman" w:cs="Times New Roman"/>
          <w:sz w:val="24"/>
          <w:szCs w:val="24"/>
        </w:rPr>
      </w:pPr>
    </w:p>
    <w:p w14:paraId="60C16ACE" w14:textId="77777777" w:rsidR="00772B9B" w:rsidRPr="0074638E" w:rsidRDefault="005E5CF5" w:rsidP="00EB2638">
      <w:pPr>
        <w:pStyle w:val="ListParagraph"/>
        <w:numPr>
          <w:ilvl w:val="0"/>
          <w:numId w:val="1"/>
        </w:numPr>
        <w:jc w:val="both"/>
        <w:rPr>
          <w:rFonts w:ascii="Times New Roman" w:hAnsi="Times New Roman" w:cs="Times New Roman"/>
          <w:b/>
          <w:sz w:val="24"/>
          <w:szCs w:val="24"/>
        </w:rPr>
      </w:pPr>
      <w:r w:rsidRPr="0074638E">
        <w:rPr>
          <w:rFonts w:ascii="Times New Roman" w:hAnsi="Times New Roman" w:cs="Times New Roman"/>
          <w:b/>
          <w:sz w:val="24"/>
          <w:szCs w:val="24"/>
        </w:rPr>
        <w:t>Pieteikuma iesniegšanas un izskatīšanas kārtība</w:t>
      </w:r>
    </w:p>
    <w:p w14:paraId="772B48C2" w14:textId="7B5B8FA9" w:rsidR="00772B9B" w:rsidRPr="0074638E" w:rsidRDefault="005E5CF5" w:rsidP="00486CAD">
      <w:pPr>
        <w:pStyle w:val="ListParagraph"/>
        <w:numPr>
          <w:ilvl w:val="1"/>
          <w:numId w:val="1"/>
        </w:numPr>
        <w:ind w:left="567" w:hanging="567"/>
        <w:jc w:val="both"/>
        <w:rPr>
          <w:rFonts w:ascii="Times New Roman" w:hAnsi="Times New Roman" w:cs="Times New Roman"/>
          <w:sz w:val="24"/>
          <w:szCs w:val="24"/>
        </w:rPr>
      </w:pPr>
      <w:r w:rsidRPr="0074638E">
        <w:rPr>
          <w:rFonts w:ascii="Times New Roman" w:hAnsi="Times New Roman" w:cs="Times New Roman"/>
          <w:sz w:val="24"/>
          <w:szCs w:val="24"/>
        </w:rPr>
        <w:t xml:space="preserve">Lai pretendētu uz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sertifikāta saņemšanu, atkārtotu tā saņemšanu vai darbības sfēru papildināšanu būvekspertīzes specialitātē, pretendentam </w:t>
      </w:r>
      <w:r w:rsidR="00DC0BA2" w:rsidRPr="002B0AE3">
        <w:rPr>
          <w:rFonts w:ascii="Times New Roman" w:hAnsi="Times New Roman" w:cs="Times New Roman"/>
          <w:sz w:val="24"/>
          <w:szCs w:val="24"/>
        </w:rPr>
        <w:t>Būvniecības informācijas sistēmas (turpmāk – BIS) tīmekļvietnē</w:t>
      </w:r>
      <w:r w:rsidR="00754E2A">
        <w:rPr>
          <w:rFonts w:ascii="Times New Roman" w:hAnsi="Times New Roman" w:cs="Times New Roman"/>
          <w:sz w:val="24"/>
          <w:szCs w:val="24"/>
        </w:rPr>
        <w:t xml:space="preserve"> </w:t>
      </w:r>
      <w:r w:rsidR="00DC0BA2" w:rsidRPr="002B0AE3">
        <w:rPr>
          <w:rFonts w:ascii="Times New Roman" w:hAnsi="Times New Roman" w:cs="Times New Roman"/>
          <w:sz w:val="24"/>
          <w:szCs w:val="24"/>
        </w:rPr>
        <w:t>(</w:t>
      </w:r>
      <w:hyperlink r:id="rId9" w:history="1">
        <w:r w:rsidR="001615D7" w:rsidRPr="00C54BBD">
          <w:rPr>
            <w:rStyle w:val="Hyperlink"/>
            <w:rFonts w:ascii="Times New Roman" w:hAnsi="Times New Roman" w:cs="Times New Roman"/>
            <w:sz w:val="24"/>
            <w:szCs w:val="24"/>
          </w:rPr>
          <w:t>www.bis.gov.lv</w:t>
        </w:r>
      </w:hyperlink>
      <w:r w:rsidR="00DC0BA2" w:rsidRPr="002B0AE3">
        <w:rPr>
          <w:rFonts w:ascii="Times New Roman" w:hAnsi="Times New Roman" w:cs="Times New Roman"/>
          <w:sz w:val="24"/>
          <w:szCs w:val="24"/>
        </w:rPr>
        <w:t>)</w:t>
      </w:r>
      <w:r w:rsidRPr="0074638E">
        <w:rPr>
          <w:rFonts w:ascii="Times New Roman" w:hAnsi="Times New Roman" w:cs="Times New Roman"/>
          <w:sz w:val="24"/>
          <w:szCs w:val="24"/>
        </w:rPr>
        <w:t>:</w:t>
      </w:r>
    </w:p>
    <w:p w14:paraId="52933835" w14:textId="77777777" w:rsidR="00772B9B" w:rsidRPr="00FC0A8E" w:rsidRDefault="005E5CF5" w:rsidP="00174FB3">
      <w:pPr>
        <w:pStyle w:val="ListParagraph"/>
        <w:numPr>
          <w:ilvl w:val="2"/>
          <w:numId w:val="1"/>
        </w:numPr>
        <w:jc w:val="both"/>
        <w:rPr>
          <w:rFonts w:ascii="Times New Roman" w:hAnsi="Times New Roman" w:cs="Times New Roman"/>
          <w:sz w:val="24"/>
          <w:szCs w:val="24"/>
        </w:rPr>
      </w:pPr>
      <w:r>
        <w:rPr>
          <w:rFonts w:ascii="Times New Roman" w:hAnsi="Times New Roman" w:cs="Times New Roman"/>
          <w:sz w:val="24"/>
          <w:szCs w:val="24"/>
        </w:rPr>
        <w:t xml:space="preserve">jāaizpilda </w:t>
      </w:r>
      <w:r w:rsidR="003E5A12">
        <w:rPr>
          <w:rFonts w:ascii="Times New Roman" w:hAnsi="Times New Roman" w:cs="Times New Roman"/>
          <w:sz w:val="24"/>
          <w:szCs w:val="24"/>
        </w:rPr>
        <w:t>tiešsaistes i</w:t>
      </w:r>
      <w:r w:rsidR="009B6354" w:rsidRPr="0074638E">
        <w:rPr>
          <w:rFonts w:ascii="Times New Roman" w:hAnsi="Times New Roman" w:cs="Times New Roman"/>
          <w:sz w:val="24"/>
          <w:szCs w:val="24"/>
        </w:rPr>
        <w:t>esniegum</w:t>
      </w:r>
      <w:r w:rsidR="009B6354">
        <w:rPr>
          <w:rFonts w:ascii="Times New Roman" w:hAnsi="Times New Roman" w:cs="Times New Roman"/>
          <w:sz w:val="24"/>
          <w:szCs w:val="24"/>
        </w:rPr>
        <w:t>s</w:t>
      </w:r>
      <w:r w:rsidR="009B6354" w:rsidRPr="00FC0A8E">
        <w:rPr>
          <w:rFonts w:ascii="Times New Roman" w:hAnsi="Times New Roman" w:cs="Times New Roman"/>
          <w:sz w:val="24"/>
          <w:szCs w:val="24"/>
        </w:rPr>
        <w:t>;</w:t>
      </w:r>
    </w:p>
    <w:p w14:paraId="74E01B4C" w14:textId="77777777" w:rsidR="00772B9B" w:rsidRPr="0074638E" w:rsidRDefault="005E5CF5" w:rsidP="00174FB3">
      <w:pPr>
        <w:pStyle w:val="ListParagraph"/>
        <w:numPr>
          <w:ilvl w:val="2"/>
          <w:numId w:val="1"/>
        </w:numPr>
        <w:jc w:val="both"/>
        <w:rPr>
          <w:rFonts w:ascii="Times New Roman" w:hAnsi="Times New Roman" w:cs="Times New Roman"/>
          <w:sz w:val="24"/>
          <w:szCs w:val="24"/>
        </w:rPr>
      </w:pPr>
      <w:r w:rsidRPr="0074638E">
        <w:rPr>
          <w:rFonts w:ascii="Times New Roman" w:hAnsi="Times New Roman" w:cs="Times New Roman"/>
          <w:sz w:val="24"/>
          <w:szCs w:val="24"/>
        </w:rPr>
        <w:lastRenderedPageBreak/>
        <w:t>pretendējot uz tiesībām veikt ekspertīzes trešās grupas būvju būvprojektiem,</w:t>
      </w:r>
      <w:r w:rsidR="00DC0BA2">
        <w:rPr>
          <w:rFonts w:ascii="Times New Roman" w:hAnsi="Times New Roman" w:cs="Times New Roman"/>
          <w:sz w:val="24"/>
          <w:szCs w:val="24"/>
        </w:rPr>
        <w:t xml:space="preserve"> </w:t>
      </w:r>
      <w:proofErr w:type="spellStart"/>
      <w:r w:rsidR="00DC0BA2" w:rsidRPr="0074638E">
        <w:rPr>
          <w:rFonts w:ascii="Times New Roman" w:hAnsi="Times New Roman" w:cs="Times New Roman"/>
          <w:sz w:val="24"/>
          <w:szCs w:val="24"/>
        </w:rPr>
        <w:t>būvspeciālistu</w:t>
      </w:r>
      <w:proofErr w:type="spellEnd"/>
      <w:r w:rsidR="00DC0BA2" w:rsidRPr="0074638E">
        <w:rPr>
          <w:rFonts w:ascii="Times New Roman" w:hAnsi="Times New Roman" w:cs="Times New Roman"/>
          <w:sz w:val="24"/>
          <w:szCs w:val="24"/>
        </w:rPr>
        <w:t xml:space="preserve"> reģistrā jāievada</w:t>
      </w:r>
      <w:r w:rsidR="00DC0BA2">
        <w:rPr>
          <w:rFonts w:ascii="Times New Roman" w:hAnsi="Times New Roman" w:cs="Times New Roman"/>
          <w:sz w:val="24"/>
          <w:szCs w:val="24"/>
        </w:rPr>
        <w:t xml:space="preserve"> informācija</w:t>
      </w:r>
      <w:r w:rsidRPr="0074638E">
        <w:rPr>
          <w:rFonts w:ascii="Times New Roman" w:hAnsi="Times New Roman" w:cs="Times New Roman"/>
          <w:sz w:val="24"/>
          <w:szCs w:val="24"/>
        </w:rPr>
        <w:t>, k</w:t>
      </w:r>
      <w:r w:rsidR="00DC0BA2">
        <w:rPr>
          <w:rFonts w:ascii="Times New Roman" w:hAnsi="Times New Roman" w:cs="Times New Roman"/>
          <w:sz w:val="24"/>
          <w:szCs w:val="24"/>
        </w:rPr>
        <w:t>as</w:t>
      </w:r>
      <w:r w:rsidRPr="0074638E">
        <w:rPr>
          <w:rFonts w:ascii="Times New Roman" w:hAnsi="Times New Roman" w:cs="Times New Roman"/>
          <w:sz w:val="24"/>
          <w:szCs w:val="24"/>
        </w:rPr>
        <w:t xml:space="preserve"> apliecina, ka </w:t>
      </w: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pēdējos 10 gados attiecīgajā darbības sfērā ir izstrādājis vismaz trīs trešās grupas būvju būvprojektus vai būvprojekta sadaļas, ja minētā informācija nav pieejama</w:t>
      </w:r>
      <w:r w:rsidR="00DC0BA2">
        <w:rPr>
          <w:rFonts w:ascii="Times New Roman" w:hAnsi="Times New Roman" w:cs="Times New Roman"/>
          <w:sz w:val="24"/>
          <w:szCs w:val="24"/>
        </w:rPr>
        <w:t xml:space="preserve"> BIS</w:t>
      </w:r>
      <w:r w:rsidRPr="0074638E">
        <w:rPr>
          <w:rFonts w:ascii="Times New Roman" w:hAnsi="Times New Roman" w:cs="Times New Roman"/>
          <w:sz w:val="24"/>
          <w:szCs w:val="24"/>
        </w:rPr>
        <w:t xml:space="preserve"> </w:t>
      </w:r>
      <w:proofErr w:type="spellStart"/>
      <w:r w:rsidRPr="0074638E">
        <w:rPr>
          <w:rFonts w:ascii="Times New Roman" w:hAnsi="Times New Roman" w:cs="Times New Roman"/>
          <w:sz w:val="24"/>
          <w:szCs w:val="24"/>
        </w:rPr>
        <w:t>būvspeciālistu</w:t>
      </w:r>
      <w:proofErr w:type="spellEnd"/>
      <w:r w:rsidRPr="0074638E">
        <w:rPr>
          <w:rFonts w:ascii="Times New Roman" w:hAnsi="Times New Roman" w:cs="Times New Roman"/>
          <w:sz w:val="24"/>
          <w:szCs w:val="24"/>
        </w:rPr>
        <w:t xml:space="preserve"> reģistrā;</w:t>
      </w:r>
    </w:p>
    <w:p w14:paraId="54842ED7" w14:textId="77777777" w:rsidR="002B0AE3" w:rsidRDefault="005E5CF5" w:rsidP="002B0AE3">
      <w:pPr>
        <w:pStyle w:val="ListParagraph"/>
        <w:numPr>
          <w:ilvl w:val="2"/>
          <w:numId w:val="1"/>
        </w:numPr>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būvspeciālistu</w:t>
      </w:r>
      <w:proofErr w:type="spellEnd"/>
      <w:r w:rsidRPr="0074638E">
        <w:rPr>
          <w:rFonts w:ascii="Times New Roman" w:hAnsi="Times New Roman" w:cs="Times New Roman"/>
          <w:sz w:val="24"/>
          <w:szCs w:val="24"/>
        </w:rPr>
        <w:t xml:space="preserve"> reģistrā jāievada</w:t>
      </w:r>
      <w:r w:rsidR="00C17E4B">
        <w:rPr>
          <w:rFonts w:ascii="Times New Roman" w:hAnsi="Times New Roman" w:cs="Times New Roman"/>
          <w:sz w:val="24"/>
          <w:szCs w:val="24"/>
        </w:rPr>
        <w:t>:</w:t>
      </w:r>
      <w:r>
        <w:rPr>
          <w:rFonts w:ascii="Times New Roman" w:hAnsi="Times New Roman" w:cs="Times New Roman"/>
          <w:sz w:val="24"/>
          <w:szCs w:val="24"/>
        </w:rPr>
        <w:t xml:space="preserve"> </w:t>
      </w:r>
    </w:p>
    <w:p w14:paraId="6E05CE3C" w14:textId="46E1DAFD" w:rsidR="00DC0BA2" w:rsidRDefault="00AF19B1" w:rsidP="00E6790E">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 </w:t>
      </w:r>
      <w:r w:rsidR="005E5CF5" w:rsidRPr="002B0AE3">
        <w:rPr>
          <w:rFonts w:ascii="Times New Roman" w:hAnsi="Times New Roman" w:cs="Times New Roman"/>
          <w:sz w:val="24"/>
          <w:szCs w:val="24"/>
        </w:rPr>
        <w:t xml:space="preserve">informācija par izglītību, kas apliecina iegūto kvalifikāciju, un elektroniski pievieno izglītību apliecinoša dokumenta kopiju, ja minētā informācija nav pieejama </w:t>
      </w:r>
      <w:proofErr w:type="spellStart"/>
      <w:r w:rsidR="005E5CF5" w:rsidRPr="002B0AE3">
        <w:rPr>
          <w:rFonts w:ascii="Times New Roman" w:hAnsi="Times New Roman" w:cs="Times New Roman"/>
          <w:sz w:val="24"/>
          <w:szCs w:val="24"/>
        </w:rPr>
        <w:t>būvspeciālistu</w:t>
      </w:r>
      <w:proofErr w:type="spellEnd"/>
      <w:r w:rsidR="005E5CF5" w:rsidRPr="002B0AE3">
        <w:rPr>
          <w:rFonts w:ascii="Times New Roman" w:hAnsi="Times New Roman" w:cs="Times New Roman"/>
          <w:sz w:val="24"/>
          <w:szCs w:val="24"/>
        </w:rPr>
        <w:t xml:space="preserve"> reģistrā;</w:t>
      </w:r>
    </w:p>
    <w:p w14:paraId="6FC5D5B8" w14:textId="3667FA39" w:rsidR="00772B9B" w:rsidRPr="00E6790E" w:rsidRDefault="009B6354" w:rsidP="00E6790E">
      <w:pPr>
        <w:pStyle w:val="ListParagraph"/>
        <w:numPr>
          <w:ilvl w:val="3"/>
          <w:numId w:val="1"/>
        </w:numPr>
        <w:ind w:left="1134" w:hanging="861"/>
        <w:jc w:val="both"/>
        <w:rPr>
          <w:rFonts w:ascii="Times New Roman" w:hAnsi="Times New Roman" w:cs="Times New Roman"/>
          <w:sz w:val="24"/>
          <w:szCs w:val="24"/>
        </w:rPr>
      </w:pPr>
      <w:r w:rsidRPr="00E6790E">
        <w:rPr>
          <w:rFonts w:ascii="Times New Roman" w:hAnsi="Times New Roman" w:cs="Times New Roman"/>
          <w:sz w:val="24"/>
          <w:szCs w:val="24"/>
        </w:rPr>
        <w:t>darbu sarakst</w:t>
      </w:r>
      <w:r w:rsidR="00754E2A" w:rsidRPr="00E6790E">
        <w:rPr>
          <w:rFonts w:ascii="Times New Roman" w:hAnsi="Times New Roman" w:cs="Times New Roman"/>
          <w:sz w:val="24"/>
          <w:szCs w:val="24"/>
        </w:rPr>
        <w:t>u</w:t>
      </w:r>
      <w:r w:rsidR="004B3D72" w:rsidRPr="00E6790E">
        <w:rPr>
          <w:rFonts w:ascii="Times New Roman" w:hAnsi="Times New Roman" w:cs="Times New Roman"/>
          <w:sz w:val="24"/>
          <w:szCs w:val="24"/>
        </w:rPr>
        <w:t xml:space="preserve"> par pēdējiem 7 gadiem</w:t>
      </w:r>
      <w:r w:rsidRPr="00E6790E">
        <w:rPr>
          <w:rFonts w:ascii="Times New Roman" w:hAnsi="Times New Roman" w:cs="Times New Roman"/>
          <w:sz w:val="24"/>
          <w:szCs w:val="24"/>
        </w:rPr>
        <w:t xml:space="preserve"> sertifikātam atbilstošā jomā, specialitātē un darbības sfērā, kuru izpildē persona piedalījusies, vai informācij</w:t>
      </w:r>
      <w:r w:rsidR="00754E2A" w:rsidRPr="00E6790E">
        <w:rPr>
          <w:rFonts w:ascii="Times New Roman" w:hAnsi="Times New Roman" w:cs="Times New Roman"/>
          <w:sz w:val="24"/>
          <w:szCs w:val="24"/>
        </w:rPr>
        <w:t>u</w:t>
      </w:r>
      <w:r w:rsidRPr="00E6790E">
        <w:rPr>
          <w:rFonts w:ascii="Times New Roman" w:hAnsi="Times New Roman" w:cs="Times New Roman"/>
          <w:sz w:val="24"/>
          <w:szCs w:val="24"/>
        </w:rPr>
        <w:t xml:space="preserve"> par specialitātei un darbības sfērai atbilstošu patstāvīgo praksi, ja minētā informācija nav pieejama </w:t>
      </w:r>
      <w:proofErr w:type="spellStart"/>
      <w:r w:rsidRPr="00E6790E">
        <w:rPr>
          <w:rFonts w:ascii="Times New Roman" w:hAnsi="Times New Roman" w:cs="Times New Roman"/>
          <w:sz w:val="24"/>
          <w:szCs w:val="24"/>
        </w:rPr>
        <w:t>būvspeciālistu</w:t>
      </w:r>
      <w:proofErr w:type="spellEnd"/>
      <w:r w:rsidRPr="00E6790E">
        <w:rPr>
          <w:rFonts w:ascii="Times New Roman" w:hAnsi="Times New Roman" w:cs="Times New Roman"/>
          <w:sz w:val="24"/>
          <w:szCs w:val="24"/>
        </w:rPr>
        <w:t xml:space="preserve"> reģistrā.</w:t>
      </w:r>
    </w:p>
    <w:p w14:paraId="13A4F2DA" w14:textId="2386C85D" w:rsidR="00772B9B" w:rsidRPr="00EE7537" w:rsidRDefault="005E5CF5" w:rsidP="00486CAD">
      <w:pPr>
        <w:pStyle w:val="ListParagraph"/>
        <w:numPr>
          <w:ilvl w:val="1"/>
          <w:numId w:val="1"/>
        </w:numPr>
        <w:ind w:left="567" w:hanging="567"/>
        <w:jc w:val="both"/>
        <w:rPr>
          <w:rFonts w:ascii="Times New Roman" w:hAnsi="Times New Roman" w:cs="Times New Roman"/>
          <w:sz w:val="24"/>
          <w:szCs w:val="24"/>
        </w:rPr>
      </w:pPr>
      <w:r w:rsidRPr="00FC0A8E">
        <w:rPr>
          <w:rFonts w:ascii="Times New Roman" w:hAnsi="Times New Roman" w:cs="Times New Roman"/>
          <w:sz w:val="24"/>
          <w:szCs w:val="24"/>
        </w:rPr>
        <w:t xml:space="preserve">Pēc dokumentu saņemšanas </w:t>
      </w:r>
      <w:r w:rsidR="00032A15">
        <w:rPr>
          <w:rFonts w:ascii="Times New Roman" w:hAnsi="Times New Roman" w:cs="Times New Roman"/>
          <w:sz w:val="24"/>
          <w:szCs w:val="24"/>
        </w:rPr>
        <w:t xml:space="preserve">BSN </w:t>
      </w:r>
      <w:r w:rsidR="00032A15" w:rsidRPr="00EE7537">
        <w:rPr>
          <w:rFonts w:ascii="Times New Roman" w:hAnsi="Times New Roman" w:cs="Times New Roman"/>
          <w:sz w:val="24"/>
          <w:szCs w:val="24"/>
        </w:rPr>
        <w:t>darbinieks</w:t>
      </w:r>
      <w:r w:rsidRPr="00EE7537">
        <w:rPr>
          <w:rFonts w:ascii="Times New Roman" w:hAnsi="Times New Roman" w:cs="Times New Roman"/>
          <w:sz w:val="24"/>
          <w:szCs w:val="24"/>
        </w:rPr>
        <w:t xml:space="preserve"> pārbauda</w:t>
      </w:r>
      <w:r w:rsidR="00902DC4" w:rsidRPr="00EE7537">
        <w:rPr>
          <w:rFonts w:ascii="Times New Roman" w:hAnsi="Times New Roman" w:cs="Times New Roman"/>
          <w:sz w:val="24"/>
          <w:szCs w:val="24"/>
        </w:rPr>
        <w:t xml:space="preserve"> iesnieguma atbilstību Dokumenta juridiskā spēka likumam, kā arī to</w:t>
      </w:r>
      <w:r w:rsidRPr="00EE7537">
        <w:rPr>
          <w:rFonts w:ascii="Times New Roman" w:hAnsi="Times New Roman" w:cs="Times New Roman"/>
          <w:sz w:val="24"/>
          <w:szCs w:val="24"/>
        </w:rPr>
        <w:t>, vai iesniegto dokumentu apjoms atbilst 5.1.</w:t>
      </w:r>
      <w:r w:rsidR="00B8458E" w:rsidRPr="00EE7537">
        <w:rPr>
          <w:rFonts w:ascii="Times New Roman" w:hAnsi="Times New Roman" w:cs="Times New Roman"/>
          <w:sz w:val="24"/>
          <w:szCs w:val="24"/>
        </w:rPr>
        <w:t xml:space="preserve"> </w:t>
      </w:r>
      <w:r w:rsidRPr="00EE7537">
        <w:rPr>
          <w:rFonts w:ascii="Times New Roman" w:hAnsi="Times New Roman" w:cs="Times New Roman"/>
          <w:sz w:val="24"/>
          <w:szCs w:val="24"/>
        </w:rPr>
        <w:t>apakšpunktā noteiktajam:</w:t>
      </w:r>
    </w:p>
    <w:p w14:paraId="3A05442D" w14:textId="77777777" w:rsidR="00772B9B" w:rsidRPr="00EE7537" w:rsidRDefault="005E5CF5" w:rsidP="00174FB3">
      <w:pPr>
        <w:pStyle w:val="ListParagraph"/>
        <w:numPr>
          <w:ilvl w:val="2"/>
          <w:numId w:val="1"/>
        </w:numPr>
        <w:jc w:val="both"/>
        <w:rPr>
          <w:rFonts w:ascii="Times New Roman" w:hAnsi="Times New Roman" w:cs="Times New Roman"/>
          <w:sz w:val="24"/>
          <w:szCs w:val="24"/>
        </w:rPr>
      </w:pPr>
      <w:r w:rsidRPr="00EE7537">
        <w:rPr>
          <w:rFonts w:ascii="Times New Roman" w:hAnsi="Times New Roman" w:cs="Times New Roman"/>
          <w:sz w:val="24"/>
          <w:szCs w:val="24"/>
        </w:rPr>
        <w:t xml:space="preserve">ja iesniegti visi nepieciešamie dokumenti, </w:t>
      </w:r>
      <w:r w:rsidR="00032A15" w:rsidRPr="00EE7537">
        <w:rPr>
          <w:rFonts w:ascii="Times New Roman" w:hAnsi="Times New Roman" w:cs="Times New Roman"/>
          <w:sz w:val="24"/>
          <w:szCs w:val="24"/>
        </w:rPr>
        <w:t>BSN darbinieks</w:t>
      </w:r>
      <w:r w:rsidR="002B0AE3" w:rsidRPr="00EE7537">
        <w:rPr>
          <w:rFonts w:ascii="Times New Roman" w:hAnsi="Times New Roman" w:cs="Times New Roman"/>
          <w:sz w:val="24"/>
          <w:szCs w:val="24"/>
        </w:rPr>
        <w:t xml:space="preserve"> </w:t>
      </w:r>
      <w:r w:rsidRPr="00EE7537">
        <w:rPr>
          <w:rFonts w:ascii="Times New Roman" w:hAnsi="Times New Roman" w:cs="Times New Roman"/>
          <w:sz w:val="24"/>
          <w:szCs w:val="24"/>
        </w:rPr>
        <w:t xml:space="preserve">sagatavo sertifikācijas protokolu; </w:t>
      </w:r>
    </w:p>
    <w:p w14:paraId="771547EA" w14:textId="77777777" w:rsidR="00772B9B" w:rsidRPr="00EE7537" w:rsidRDefault="005E5CF5" w:rsidP="00174FB3">
      <w:pPr>
        <w:pStyle w:val="ListParagraph"/>
        <w:numPr>
          <w:ilvl w:val="2"/>
          <w:numId w:val="1"/>
        </w:numPr>
        <w:jc w:val="both"/>
        <w:rPr>
          <w:rFonts w:ascii="Times New Roman" w:hAnsi="Times New Roman" w:cs="Times New Roman"/>
          <w:sz w:val="24"/>
          <w:szCs w:val="24"/>
        </w:rPr>
      </w:pPr>
      <w:r w:rsidRPr="00EE7537">
        <w:rPr>
          <w:rFonts w:ascii="Times New Roman" w:hAnsi="Times New Roman" w:cs="Times New Roman"/>
          <w:sz w:val="24"/>
          <w:szCs w:val="24"/>
        </w:rPr>
        <w:t>ja visi nepieciešamie dokumenti nav iesniegti, informē pretendentu par nepieciešamību iesniegt iztrūkstošos dokumentus</w:t>
      </w:r>
      <w:r w:rsidR="00032A15" w:rsidRPr="00EE7537">
        <w:rPr>
          <w:rFonts w:ascii="Times New Roman" w:hAnsi="Times New Roman" w:cs="Times New Roman"/>
          <w:sz w:val="24"/>
          <w:szCs w:val="24"/>
        </w:rPr>
        <w:t xml:space="preserve"> vai ievadīt trūkstošo informāciju</w:t>
      </w:r>
      <w:r w:rsidRPr="00EE7537">
        <w:rPr>
          <w:rFonts w:ascii="Times New Roman" w:hAnsi="Times New Roman" w:cs="Times New Roman"/>
          <w:sz w:val="24"/>
          <w:szCs w:val="24"/>
        </w:rPr>
        <w:t xml:space="preserve">. </w:t>
      </w:r>
    </w:p>
    <w:p w14:paraId="0674C67C" w14:textId="473085DB" w:rsidR="00772B9B" w:rsidRPr="00EE7537" w:rsidRDefault="00875CD7" w:rsidP="00486CAD">
      <w:pPr>
        <w:pStyle w:val="ListParagraph"/>
        <w:numPr>
          <w:ilvl w:val="1"/>
          <w:numId w:val="1"/>
        </w:numPr>
        <w:ind w:left="567" w:hanging="567"/>
        <w:jc w:val="both"/>
        <w:rPr>
          <w:rFonts w:ascii="Times New Roman" w:hAnsi="Times New Roman" w:cs="Times New Roman"/>
          <w:sz w:val="24"/>
          <w:szCs w:val="24"/>
        </w:rPr>
      </w:pPr>
      <w:r w:rsidRPr="00EE7537">
        <w:rPr>
          <w:rFonts w:ascii="Times New Roman" w:hAnsi="Times New Roman" w:cs="Times New Roman"/>
          <w:sz w:val="24"/>
          <w:szCs w:val="24"/>
        </w:rPr>
        <w:t xml:space="preserve">Praktiskās darba pieredzes vai patstāvīgās prakses izvērtēšanu veic vismaz viens BSN norīkots atbilstošās darbības sfēras </w:t>
      </w:r>
      <w:proofErr w:type="spellStart"/>
      <w:r w:rsidRPr="00EE7537">
        <w:rPr>
          <w:rFonts w:ascii="Times New Roman" w:hAnsi="Times New Roman" w:cs="Times New Roman"/>
          <w:sz w:val="24"/>
          <w:szCs w:val="24"/>
        </w:rPr>
        <w:t>būvspeciālists</w:t>
      </w:r>
      <w:proofErr w:type="spellEnd"/>
      <w:r w:rsidRPr="00EE7537">
        <w:rPr>
          <w:rFonts w:ascii="Times New Roman" w:hAnsi="Times New Roman" w:cs="Times New Roman"/>
          <w:sz w:val="24"/>
          <w:szCs w:val="24"/>
        </w:rPr>
        <w:t>, novērtējot</w:t>
      </w:r>
      <w:r w:rsidR="009B6354" w:rsidRPr="00EE7537">
        <w:rPr>
          <w:rFonts w:ascii="Times New Roman" w:hAnsi="Times New Roman" w:cs="Times New Roman"/>
          <w:sz w:val="24"/>
          <w:szCs w:val="24"/>
        </w:rPr>
        <w:t xml:space="preserve">: </w:t>
      </w:r>
    </w:p>
    <w:p w14:paraId="48EF3ADE" w14:textId="7F520F0A" w:rsidR="00772B9B" w:rsidRPr="00EE7537" w:rsidRDefault="005E5CF5" w:rsidP="00174FB3">
      <w:pPr>
        <w:pStyle w:val="ListParagraph"/>
        <w:numPr>
          <w:ilvl w:val="2"/>
          <w:numId w:val="1"/>
        </w:numPr>
        <w:jc w:val="both"/>
        <w:rPr>
          <w:rFonts w:ascii="Times New Roman" w:hAnsi="Times New Roman" w:cs="Times New Roman"/>
          <w:sz w:val="24"/>
          <w:szCs w:val="24"/>
        </w:rPr>
      </w:pPr>
      <w:r w:rsidRPr="00EE7537">
        <w:rPr>
          <w:rFonts w:ascii="Times New Roman" w:hAnsi="Times New Roman" w:cs="Times New Roman"/>
          <w:sz w:val="24"/>
          <w:szCs w:val="24"/>
        </w:rPr>
        <w:t>pretendenta izglītības atbilstību 4.1.1.</w:t>
      </w:r>
      <w:r w:rsidR="00BD1A1A" w:rsidRPr="00EE7537">
        <w:rPr>
          <w:rFonts w:ascii="Times New Roman" w:hAnsi="Times New Roman" w:cs="Times New Roman"/>
          <w:sz w:val="24"/>
          <w:szCs w:val="24"/>
        </w:rPr>
        <w:t xml:space="preserve"> </w:t>
      </w:r>
      <w:r w:rsidRPr="00EE7537">
        <w:rPr>
          <w:rFonts w:ascii="Times New Roman" w:hAnsi="Times New Roman" w:cs="Times New Roman"/>
          <w:sz w:val="24"/>
          <w:szCs w:val="24"/>
        </w:rPr>
        <w:t>apakšpunktā noteiktajām prasībām;</w:t>
      </w:r>
    </w:p>
    <w:p w14:paraId="1CB23CDA" w14:textId="0A17F1A4" w:rsidR="00772B9B" w:rsidRPr="00EE7537" w:rsidRDefault="005E5CF5" w:rsidP="00174FB3">
      <w:pPr>
        <w:pStyle w:val="ListParagraph"/>
        <w:numPr>
          <w:ilvl w:val="2"/>
          <w:numId w:val="1"/>
        </w:numPr>
        <w:jc w:val="both"/>
        <w:rPr>
          <w:rFonts w:ascii="Times New Roman" w:hAnsi="Times New Roman" w:cs="Times New Roman"/>
          <w:sz w:val="24"/>
          <w:szCs w:val="24"/>
        </w:rPr>
      </w:pPr>
      <w:r w:rsidRPr="00EE7537">
        <w:rPr>
          <w:rFonts w:ascii="Times New Roman" w:hAnsi="Times New Roman" w:cs="Times New Roman"/>
          <w:sz w:val="24"/>
          <w:szCs w:val="24"/>
        </w:rPr>
        <w:t>pretendenta patstāvīgās prakses atbilstību 4.1.3. un 4.1.5.</w:t>
      </w:r>
      <w:r w:rsidR="00BD1A1A" w:rsidRPr="00EE7537">
        <w:rPr>
          <w:rFonts w:ascii="Times New Roman" w:hAnsi="Times New Roman" w:cs="Times New Roman"/>
          <w:sz w:val="24"/>
          <w:szCs w:val="24"/>
        </w:rPr>
        <w:t xml:space="preserve"> </w:t>
      </w:r>
      <w:r w:rsidRPr="00EE7537">
        <w:rPr>
          <w:rFonts w:ascii="Times New Roman" w:hAnsi="Times New Roman" w:cs="Times New Roman"/>
          <w:sz w:val="24"/>
          <w:szCs w:val="24"/>
        </w:rPr>
        <w:t>apakšpunktā noteiktajām prasībām;</w:t>
      </w:r>
    </w:p>
    <w:p w14:paraId="1D2E27FB" w14:textId="4D843394" w:rsidR="00772B9B" w:rsidRPr="0074638E" w:rsidRDefault="005E5CF5" w:rsidP="00486CAD">
      <w:pPr>
        <w:pStyle w:val="ListParagraph"/>
        <w:numPr>
          <w:ilvl w:val="1"/>
          <w:numId w:val="1"/>
        </w:numPr>
        <w:ind w:left="567" w:hanging="567"/>
        <w:jc w:val="both"/>
        <w:rPr>
          <w:rFonts w:ascii="Times New Roman" w:hAnsi="Times New Roman" w:cs="Times New Roman"/>
          <w:sz w:val="24"/>
          <w:szCs w:val="24"/>
        </w:rPr>
      </w:pPr>
      <w:bookmarkStart w:id="2" w:name="_Hlk526346231"/>
      <w:r w:rsidRPr="00EE7537">
        <w:rPr>
          <w:rFonts w:ascii="Times New Roman" w:hAnsi="Times New Roman" w:cs="Times New Roman"/>
          <w:sz w:val="24"/>
          <w:szCs w:val="24"/>
        </w:rPr>
        <w:t xml:space="preserve">Pēc dokumentu izvērtēšanas </w:t>
      </w:r>
      <w:r w:rsidR="00032A15" w:rsidRPr="00EE7537">
        <w:rPr>
          <w:rFonts w:ascii="Times New Roman" w:hAnsi="Times New Roman" w:cs="Times New Roman"/>
          <w:sz w:val="24"/>
          <w:szCs w:val="24"/>
        </w:rPr>
        <w:t xml:space="preserve">BSN </w:t>
      </w:r>
      <w:r w:rsidR="00902DC4" w:rsidRPr="00EE7537">
        <w:rPr>
          <w:rFonts w:ascii="Times New Roman" w:hAnsi="Times New Roman" w:cs="Times New Roman"/>
          <w:sz w:val="24"/>
          <w:szCs w:val="24"/>
        </w:rPr>
        <w:t xml:space="preserve">piesaistītais eksperts </w:t>
      </w:r>
      <w:r w:rsidRPr="0074638E">
        <w:rPr>
          <w:rFonts w:ascii="Times New Roman" w:hAnsi="Times New Roman" w:cs="Times New Roman"/>
          <w:sz w:val="24"/>
          <w:szCs w:val="24"/>
        </w:rPr>
        <w:t xml:space="preserve">attiecīgajās sertifikācijas protokola sadaļās ieraksta vērtējumu “atbilst” vai “neatbilst”. </w:t>
      </w:r>
    </w:p>
    <w:p w14:paraId="0EC087A7" w14:textId="3201A0C0" w:rsidR="00772B9B" w:rsidRPr="00423B34" w:rsidRDefault="005E5CF5" w:rsidP="00174FB3">
      <w:pPr>
        <w:pStyle w:val="ListParagraph"/>
        <w:numPr>
          <w:ilvl w:val="2"/>
          <w:numId w:val="1"/>
        </w:numPr>
        <w:jc w:val="both"/>
        <w:rPr>
          <w:rFonts w:ascii="Times New Roman" w:hAnsi="Times New Roman" w:cs="Times New Roman"/>
          <w:sz w:val="24"/>
          <w:szCs w:val="24"/>
        </w:rPr>
      </w:pPr>
      <w:r w:rsidRPr="0074638E">
        <w:rPr>
          <w:rFonts w:ascii="Times New Roman" w:hAnsi="Times New Roman" w:cs="Times New Roman"/>
          <w:sz w:val="24"/>
          <w:szCs w:val="24"/>
        </w:rPr>
        <w:t>Ja pretendents neatbilst kād</w:t>
      </w:r>
      <w:r w:rsidR="001615D7">
        <w:rPr>
          <w:rFonts w:ascii="Times New Roman" w:hAnsi="Times New Roman" w:cs="Times New Roman"/>
          <w:sz w:val="24"/>
          <w:szCs w:val="24"/>
        </w:rPr>
        <w:t>ai</w:t>
      </w:r>
      <w:r w:rsidRPr="0074638E">
        <w:rPr>
          <w:rFonts w:ascii="Times New Roman" w:hAnsi="Times New Roman" w:cs="Times New Roman"/>
          <w:sz w:val="24"/>
          <w:szCs w:val="24"/>
        </w:rPr>
        <w:t xml:space="preserve"> no sertifikācijas prasībām, </w:t>
      </w:r>
      <w:r w:rsidRPr="00174FB3">
        <w:rPr>
          <w:rFonts w:ascii="Times New Roman" w:hAnsi="Times New Roman" w:cs="Times New Roman"/>
          <w:sz w:val="24"/>
          <w:szCs w:val="24"/>
        </w:rPr>
        <w:t>BSN atbilstoši Iesnieguma likumā noteiktajam termiņam</w:t>
      </w:r>
      <w:r w:rsidRPr="0074638E">
        <w:rPr>
          <w:rFonts w:ascii="Times New Roman" w:hAnsi="Times New Roman" w:cs="Times New Roman"/>
          <w:sz w:val="24"/>
          <w:szCs w:val="24"/>
        </w:rPr>
        <w:t xml:space="preserve"> pretendentam piepras</w:t>
      </w:r>
      <w:r w:rsidRPr="00C816B6">
        <w:rPr>
          <w:rFonts w:ascii="Times New Roman" w:hAnsi="Times New Roman" w:cs="Times New Roman"/>
          <w:sz w:val="24"/>
          <w:szCs w:val="24"/>
        </w:rPr>
        <w:t xml:space="preserve">a papildu informāciju, </w:t>
      </w:r>
      <w:r w:rsidRPr="00423B34">
        <w:rPr>
          <w:rFonts w:ascii="Times New Roman" w:hAnsi="Times New Roman" w:cs="Times New Roman"/>
          <w:sz w:val="24"/>
          <w:szCs w:val="24"/>
        </w:rPr>
        <w:t xml:space="preserve">nosūtot rakstisku pieprasījumu uz pretendenta norādīto adresi. </w:t>
      </w:r>
    </w:p>
    <w:p w14:paraId="0B20BF61" w14:textId="4D4B780D" w:rsidR="00772B9B" w:rsidRPr="0074638E" w:rsidRDefault="005E5CF5" w:rsidP="00174FB3">
      <w:pPr>
        <w:pStyle w:val="ListParagraph"/>
        <w:numPr>
          <w:ilvl w:val="2"/>
          <w:numId w:val="1"/>
        </w:numPr>
        <w:jc w:val="both"/>
        <w:rPr>
          <w:rFonts w:ascii="Times New Roman" w:hAnsi="Times New Roman" w:cs="Times New Roman"/>
          <w:sz w:val="24"/>
          <w:szCs w:val="24"/>
        </w:rPr>
      </w:pPr>
      <w:r w:rsidRPr="0074638E">
        <w:rPr>
          <w:rFonts w:ascii="Times New Roman" w:hAnsi="Times New Roman" w:cs="Times New Roman"/>
          <w:sz w:val="24"/>
          <w:szCs w:val="24"/>
        </w:rPr>
        <w:t xml:space="preserve">Pēc papildu informācijas saņemšanas no pretendenta tiek veikta informācijas atkārtota izvērtēšana. </w:t>
      </w:r>
    </w:p>
    <w:p w14:paraId="025A9813" w14:textId="490F522C" w:rsidR="00772B9B" w:rsidRPr="002B0AE3" w:rsidRDefault="005E5CF5" w:rsidP="00F85252">
      <w:pPr>
        <w:pStyle w:val="ListParagraph"/>
        <w:numPr>
          <w:ilvl w:val="2"/>
          <w:numId w:val="1"/>
        </w:numPr>
        <w:jc w:val="both"/>
        <w:rPr>
          <w:rFonts w:ascii="Times New Roman" w:hAnsi="Times New Roman" w:cs="Times New Roman"/>
          <w:sz w:val="24"/>
          <w:szCs w:val="24"/>
        </w:rPr>
      </w:pPr>
      <w:r w:rsidRPr="0074638E">
        <w:rPr>
          <w:rFonts w:ascii="Times New Roman" w:hAnsi="Times New Roman" w:cs="Times New Roman"/>
          <w:sz w:val="24"/>
          <w:szCs w:val="24"/>
        </w:rPr>
        <w:t>Ja pēc atkārtotas dokumentu izvērtēšanas pretendents neatbilst kādai no 4.1.</w:t>
      </w:r>
      <w:r w:rsidR="007D51D3">
        <w:rPr>
          <w:rFonts w:ascii="Times New Roman" w:hAnsi="Times New Roman" w:cs="Times New Roman"/>
          <w:sz w:val="24"/>
          <w:szCs w:val="24"/>
        </w:rPr>
        <w:t xml:space="preserve"> </w:t>
      </w:r>
      <w:r w:rsidRPr="0074638E">
        <w:rPr>
          <w:rFonts w:ascii="Times New Roman" w:hAnsi="Times New Roman" w:cs="Times New Roman"/>
          <w:sz w:val="24"/>
          <w:szCs w:val="24"/>
        </w:rPr>
        <w:t xml:space="preserve">apakšpunktā noteiktajām prasībām, </w:t>
      </w:r>
      <w:r w:rsidRPr="002B0AE3">
        <w:rPr>
          <w:rFonts w:ascii="Times New Roman" w:hAnsi="Times New Roman" w:cs="Times New Roman"/>
          <w:sz w:val="24"/>
          <w:szCs w:val="24"/>
        </w:rPr>
        <w:t xml:space="preserve">BSN vadītājs pieņem lēmumu par atteikumu uzaicināt pretendentu uz kompetences pārbaudi. </w:t>
      </w:r>
    </w:p>
    <w:p w14:paraId="6888CE57" w14:textId="6BD02E1C" w:rsidR="00772B9B" w:rsidRPr="0074638E" w:rsidRDefault="005E5CF5" w:rsidP="00486CAD">
      <w:pPr>
        <w:pStyle w:val="ListParagraph"/>
        <w:numPr>
          <w:ilvl w:val="1"/>
          <w:numId w:val="1"/>
        </w:numPr>
        <w:ind w:left="567" w:hanging="567"/>
        <w:jc w:val="both"/>
        <w:rPr>
          <w:rFonts w:ascii="Times New Roman" w:hAnsi="Times New Roman" w:cs="Times New Roman"/>
          <w:sz w:val="24"/>
          <w:szCs w:val="24"/>
        </w:rPr>
      </w:pPr>
      <w:r w:rsidRPr="0074638E">
        <w:rPr>
          <w:rFonts w:ascii="Times New Roman" w:hAnsi="Times New Roman" w:cs="Times New Roman"/>
          <w:sz w:val="24"/>
          <w:szCs w:val="24"/>
        </w:rPr>
        <w:t>Ja pretendents atbilst visām 4.1.</w:t>
      </w:r>
      <w:r w:rsidR="007D51D3">
        <w:rPr>
          <w:rFonts w:ascii="Times New Roman" w:hAnsi="Times New Roman" w:cs="Times New Roman"/>
          <w:sz w:val="24"/>
          <w:szCs w:val="24"/>
        </w:rPr>
        <w:t xml:space="preserve"> </w:t>
      </w:r>
      <w:r w:rsidRPr="0074638E">
        <w:rPr>
          <w:rFonts w:ascii="Times New Roman" w:hAnsi="Times New Roman" w:cs="Times New Roman"/>
          <w:sz w:val="24"/>
          <w:szCs w:val="24"/>
        </w:rPr>
        <w:t xml:space="preserve">apakšpunktā noteiktajām prasībām, </w:t>
      </w:r>
      <w:r w:rsidRPr="000D2F63">
        <w:rPr>
          <w:rFonts w:ascii="Times New Roman" w:eastAsia="Times New Roman" w:hAnsi="Times New Roman" w:cs="Times New Roman"/>
          <w:bCs/>
          <w:sz w:val="24"/>
          <w:szCs w:val="24"/>
        </w:rPr>
        <w:t>BSN</w:t>
      </w:r>
      <w:r w:rsidRPr="000D2F63">
        <w:rPr>
          <w:rFonts w:ascii="Times New Roman" w:hAnsi="Times New Roman" w:cs="Times New Roman"/>
          <w:sz w:val="24"/>
          <w:szCs w:val="24"/>
        </w:rPr>
        <w:t xml:space="preserve"> </w:t>
      </w:r>
      <w:r w:rsidRPr="0074638E">
        <w:rPr>
          <w:rFonts w:ascii="Times New Roman" w:hAnsi="Times New Roman" w:cs="Times New Roman"/>
          <w:sz w:val="24"/>
          <w:szCs w:val="24"/>
        </w:rPr>
        <w:t xml:space="preserve">sagatavo uzaicinājumu pretendentam uz kompetences pārbaudi, norādot konkrētu norises laiku un vietu. </w:t>
      </w:r>
    </w:p>
    <w:p w14:paraId="6360DDB6" w14:textId="5EA0ED3C" w:rsidR="00772B9B" w:rsidRDefault="005E5CF5" w:rsidP="00486CAD">
      <w:pPr>
        <w:pStyle w:val="ListParagraph"/>
        <w:numPr>
          <w:ilvl w:val="1"/>
          <w:numId w:val="1"/>
        </w:numPr>
        <w:ind w:left="567" w:hanging="567"/>
        <w:jc w:val="both"/>
        <w:rPr>
          <w:rFonts w:ascii="Times New Roman" w:hAnsi="Times New Roman" w:cs="Times New Roman"/>
          <w:sz w:val="24"/>
          <w:szCs w:val="24"/>
        </w:rPr>
      </w:pPr>
      <w:r w:rsidRPr="0074638E">
        <w:rPr>
          <w:rFonts w:ascii="Times New Roman" w:eastAsia="Times New Roman" w:hAnsi="Times New Roman" w:cs="Times New Roman"/>
          <w:bCs/>
          <w:sz w:val="24"/>
          <w:szCs w:val="24"/>
        </w:rPr>
        <w:t>BSN</w:t>
      </w:r>
      <w:r w:rsidRPr="0074638E">
        <w:rPr>
          <w:rFonts w:ascii="Times New Roman" w:hAnsi="Times New Roman" w:cs="Times New Roman"/>
          <w:sz w:val="24"/>
          <w:szCs w:val="24"/>
        </w:rPr>
        <w:t xml:space="preserve"> </w:t>
      </w:r>
      <w:proofErr w:type="spellStart"/>
      <w:r w:rsidRPr="0074638E">
        <w:rPr>
          <w:rFonts w:ascii="Times New Roman" w:hAnsi="Times New Roman" w:cs="Times New Roman"/>
          <w:sz w:val="24"/>
          <w:szCs w:val="24"/>
        </w:rPr>
        <w:t>nosūta</w:t>
      </w:r>
      <w:proofErr w:type="spellEnd"/>
      <w:r w:rsidRPr="0074638E">
        <w:rPr>
          <w:rFonts w:ascii="Times New Roman" w:hAnsi="Times New Roman" w:cs="Times New Roman"/>
          <w:sz w:val="24"/>
          <w:szCs w:val="24"/>
        </w:rPr>
        <w:t xml:space="preserve"> uzaicinājumu uz pretendenta norādīto adresi vai elektroniskā pasta adresi, ja tāda ir norādīta, kā arī informē pretendentu, sazinoties ar pretendentu telefoniski uz pretendenta norādīto kontakttālruni. </w:t>
      </w:r>
      <w:bookmarkEnd w:id="2"/>
    </w:p>
    <w:p w14:paraId="1626747F" w14:textId="77777777" w:rsidR="00772B9B" w:rsidRDefault="00772B9B" w:rsidP="000452AA">
      <w:pPr>
        <w:jc w:val="both"/>
        <w:rPr>
          <w:rFonts w:ascii="Times New Roman" w:hAnsi="Times New Roman" w:cs="Times New Roman"/>
          <w:sz w:val="24"/>
          <w:szCs w:val="24"/>
        </w:rPr>
      </w:pPr>
    </w:p>
    <w:p w14:paraId="5C4FFCC2" w14:textId="77777777" w:rsidR="00772B9B" w:rsidRPr="00E9231B" w:rsidRDefault="005E5CF5" w:rsidP="00EB2638">
      <w:pPr>
        <w:pStyle w:val="ListParagraph"/>
        <w:numPr>
          <w:ilvl w:val="0"/>
          <w:numId w:val="1"/>
        </w:numPr>
        <w:jc w:val="both"/>
        <w:rPr>
          <w:rFonts w:ascii="Times New Roman" w:hAnsi="Times New Roman" w:cs="Times New Roman"/>
          <w:b/>
          <w:sz w:val="24"/>
          <w:szCs w:val="24"/>
        </w:rPr>
      </w:pPr>
      <w:proofErr w:type="spellStart"/>
      <w:r w:rsidRPr="00E9231B">
        <w:rPr>
          <w:rFonts w:ascii="Times New Roman" w:hAnsi="Times New Roman" w:cs="Times New Roman"/>
          <w:b/>
          <w:sz w:val="24"/>
          <w:szCs w:val="24"/>
        </w:rPr>
        <w:t>Būvspeciālistu</w:t>
      </w:r>
      <w:proofErr w:type="spellEnd"/>
      <w:r w:rsidRPr="00E9231B">
        <w:rPr>
          <w:rFonts w:ascii="Times New Roman" w:hAnsi="Times New Roman" w:cs="Times New Roman"/>
          <w:b/>
          <w:sz w:val="24"/>
          <w:szCs w:val="24"/>
        </w:rPr>
        <w:t xml:space="preserve"> kompetences pārbaudes saturs </w:t>
      </w:r>
    </w:p>
    <w:p w14:paraId="03A08967"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Sākotnējā un atkārtotā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kompetences pārbaude būvekspertīzes specialitātē tiek veikta, izmantojot testu kā kompetences novērtēšanas metodi, lai pārliecinātos ne tikai par pretendenta teorētiskajām zināšanām attiecībā uz būvekspertīzes normatīvo </w:t>
      </w:r>
      <w:r w:rsidRPr="00B979C8">
        <w:rPr>
          <w:rFonts w:ascii="Times New Roman" w:eastAsia="Times New Roman" w:hAnsi="Times New Roman" w:cs="Times New Roman"/>
          <w:bCs/>
          <w:sz w:val="24"/>
          <w:szCs w:val="24"/>
        </w:rPr>
        <w:lastRenderedPageBreak/>
        <w:t>regulējumu, bet arī praktiskajām spējām par būvprojekta vai būves ekspertīzes atzinuma sagatavošanu, būvekspertīzes sastāvu, veikšanas kārtību, ierobežojumiem un atbildību.</w:t>
      </w:r>
    </w:p>
    <w:p w14:paraId="40C3EF9D" w14:textId="17D37DDB" w:rsidR="00772B9B" w:rsidRPr="00EE7537"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EE7537">
        <w:rPr>
          <w:rFonts w:ascii="Times New Roman" w:eastAsia="Times New Roman" w:hAnsi="Times New Roman" w:cs="Times New Roman"/>
          <w:bCs/>
          <w:sz w:val="24"/>
          <w:szCs w:val="24"/>
        </w:rPr>
        <w:t>Test</w:t>
      </w:r>
      <w:r w:rsidR="000A4639" w:rsidRPr="00EE7537">
        <w:rPr>
          <w:rFonts w:ascii="Times New Roman" w:eastAsia="Times New Roman" w:hAnsi="Times New Roman" w:cs="Times New Roman"/>
          <w:bCs/>
          <w:sz w:val="24"/>
          <w:szCs w:val="24"/>
        </w:rPr>
        <w:t>a saturs</w:t>
      </w:r>
      <w:r w:rsidRPr="00EE7537">
        <w:rPr>
          <w:rFonts w:ascii="Times New Roman" w:eastAsia="Times New Roman" w:hAnsi="Times New Roman" w:cs="Times New Roman"/>
          <w:bCs/>
          <w:sz w:val="24"/>
          <w:szCs w:val="24"/>
        </w:rPr>
        <w:t xml:space="preserve"> </w:t>
      </w:r>
      <w:r w:rsidR="007E0932" w:rsidRPr="00EE7537">
        <w:rPr>
          <w:rFonts w:ascii="Times New Roman" w:eastAsia="Times New Roman" w:hAnsi="Times New Roman" w:cs="Times New Roman"/>
          <w:bCs/>
          <w:sz w:val="24"/>
          <w:szCs w:val="24"/>
        </w:rPr>
        <w:t xml:space="preserve">ir </w:t>
      </w:r>
      <w:r w:rsidR="000A4639" w:rsidRPr="00EE7537">
        <w:rPr>
          <w:rFonts w:ascii="Times New Roman" w:eastAsia="Times New Roman" w:hAnsi="Times New Roman" w:cs="Times New Roman"/>
          <w:bCs/>
          <w:sz w:val="24"/>
          <w:szCs w:val="24"/>
        </w:rPr>
        <w:t>veidots</w:t>
      </w:r>
      <w:r w:rsidRPr="00EE7537">
        <w:rPr>
          <w:rFonts w:ascii="Times New Roman" w:eastAsia="Times New Roman" w:hAnsi="Times New Roman" w:cs="Times New Roman"/>
          <w:bCs/>
          <w:sz w:val="24"/>
          <w:szCs w:val="24"/>
        </w:rPr>
        <w:t xml:space="preserve">, lai novērtētu: </w:t>
      </w:r>
    </w:p>
    <w:p w14:paraId="37CC208B" w14:textId="77777777" w:rsidR="00772B9B" w:rsidRPr="00174FB3" w:rsidRDefault="005E5CF5" w:rsidP="00174FB3">
      <w:pPr>
        <w:pStyle w:val="ListParagraph"/>
        <w:numPr>
          <w:ilvl w:val="2"/>
          <w:numId w:val="1"/>
        </w:numPr>
        <w:jc w:val="both"/>
        <w:rPr>
          <w:rFonts w:ascii="Times New Roman" w:hAnsi="Times New Roman" w:cs="Times New Roman"/>
          <w:sz w:val="24"/>
          <w:szCs w:val="24"/>
        </w:rPr>
      </w:pPr>
      <w:r w:rsidRPr="00174FB3">
        <w:rPr>
          <w:rFonts w:ascii="Times New Roman" w:hAnsi="Times New Roman" w:cs="Times New Roman"/>
          <w:sz w:val="24"/>
          <w:szCs w:val="24"/>
        </w:rPr>
        <w:t>kandidāta spēju sagatavot objektīvu un pamatotu ekspertīzes atzinumu;</w:t>
      </w:r>
    </w:p>
    <w:p w14:paraId="2D094B6A" w14:textId="77777777" w:rsidR="00772B9B" w:rsidRPr="00174FB3" w:rsidRDefault="005E5CF5" w:rsidP="00174FB3">
      <w:pPr>
        <w:pStyle w:val="ListParagraph"/>
        <w:numPr>
          <w:ilvl w:val="2"/>
          <w:numId w:val="1"/>
        </w:numPr>
        <w:jc w:val="both"/>
        <w:rPr>
          <w:rFonts w:ascii="Times New Roman" w:hAnsi="Times New Roman" w:cs="Times New Roman"/>
          <w:sz w:val="24"/>
          <w:szCs w:val="24"/>
        </w:rPr>
      </w:pPr>
      <w:r w:rsidRPr="00174FB3">
        <w:rPr>
          <w:rFonts w:ascii="Times New Roman" w:hAnsi="Times New Roman" w:cs="Times New Roman"/>
          <w:sz w:val="24"/>
          <w:szCs w:val="24"/>
        </w:rPr>
        <w:t xml:space="preserve">kandidāta zināšanas par </w:t>
      </w:r>
      <w:r w:rsidR="004B3D72" w:rsidRPr="00174FB3">
        <w:rPr>
          <w:rFonts w:ascii="Times New Roman" w:hAnsi="Times New Roman" w:cs="Times New Roman"/>
          <w:sz w:val="24"/>
          <w:szCs w:val="24"/>
        </w:rPr>
        <w:t xml:space="preserve">Latvijas Republikas </w:t>
      </w:r>
      <w:r w:rsidRPr="00174FB3">
        <w:rPr>
          <w:rFonts w:ascii="Times New Roman" w:hAnsi="Times New Roman" w:cs="Times New Roman"/>
          <w:sz w:val="24"/>
          <w:szCs w:val="24"/>
        </w:rPr>
        <w:t>esošajiem reglamentējošajiem tiesību aktiem un citām prasībām attiecībā uz būvekspertīzes darbības sfērām;</w:t>
      </w:r>
    </w:p>
    <w:p w14:paraId="589EEFF5" w14:textId="6AB43C18" w:rsidR="00772B9B" w:rsidRPr="00174FB3" w:rsidRDefault="005E5CF5" w:rsidP="00174FB3">
      <w:pPr>
        <w:pStyle w:val="ListParagraph"/>
        <w:numPr>
          <w:ilvl w:val="2"/>
          <w:numId w:val="1"/>
        </w:numPr>
        <w:jc w:val="both"/>
        <w:rPr>
          <w:rFonts w:ascii="Times New Roman" w:hAnsi="Times New Roman" w:cs="Times New Roman"/>
          <w:sz w:val="24"/>
          <w:szCs w:val="24"/>
        </w:rPr>
      </w:pPr>
      <w:r w:rsidRPr="00174FB3">
        <w:rPr>
          <w:rFonts w:ascii="Times New Roman" w:hAnsi="Times New Roman" w:cs="Times New Roman"/>
          <w:sz w:val="24"/>
          <w:szCs w:val="24"/>
        </w:rPr>
        <w:t>kandidāta izpratni par būvekspertīzes praksi un būvniecības procesa konkrētiem riskiem un tehniskiem aspektiem;</w:t>
      </w:r>
    </w:p>
    <w:p w14:paraId="64686AA9" w14:textId="77777777" w:rsidR="00772B9B" w:rsidRPr="00174FB3" w:rsidRDefault="005E5CF5" w:rsidP="00174FB3">
      <w:pPr>
        <w:pStyle w:val="ListParagraph"/>
        <w:numPr>
          <w:ilvl w:val="2"/>
          <w:numId w:val="1"/>
        </w:numPr>
        <w:jc w:val="both"/>
        <w:rPr>
          <w:rFonts w:ascii="Times New Roman" w:hAnsi="Times New Roman" w:cs="Times New Roman"/>
          <w:sz w:val="24"/>
          <w:szCs w:val="24"/>
        </w:rPr>
      </w:pPr>
      <w:r w:rsidRPr="00174FB3">
        <w:rPr>
          <w:rFonts w:ascii="Times New Roman" w:hAnsi="Times New Roman" w:cs="Times New Roman"/>
          <w:sz w:val="24"/>
          <w:szCs w:val="24"/>
        </w:rPr>
        <w:t xml:space="preserve">kandidāta zināšanas par testa, aprēķinu un mērījumu metodēm un to pielietojumu būvekspertīzes atzinuma sagatavošanā. </w:t>
      </w:r>
    </w:p>
    <w:p w14:paraId="14D0BB60"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Lai pārliecinātos par kandidāta zināšanām attiecībā uz ekspertīzes veikšanas pienākumiem, atbildību un ierobežojumiem saskaņā ar Būvniecības likuma un Vispārīgo būvnoteikumu prasībām, testa vispārīgā jeb teorētiskā sadaļa neatkarīgi no būvekspertīzes darbības sfērām ietver jautājumus par šādām tēmām:</w:t>
      </w:r>
    </w:p>
    <w:p w14:paraId="26B10D85"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būvprojekta ekspertīzes mērķis saskaņā ar normatīvo aktu prasībām;</w:t>
      </w:r>
    </w:p>
    <w:p w14:paraId="71607145" w14:textId="571DB3E4"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būvei izvirzāmo prasību nodrošināšana atbilstoši Būvniecības likuma 9.</w:t>
      </w:r>
      <w:r w:rsidR="00B8060D">
        <w:rPr>
          <w:rFonts w:ascii="Times New Roman" w:eastAsia="Times New Roman" w:hAnsi="Times New Roman" w:cs="Times New Roman"/>
          <w:bCs/>
          <w:sz w:val="24"/>
          <w:szCs w:val="24"/>
        </w:rPr>
        <w:t xml:space="preserve"> </w:t>
      </w:r>
      <w:r w:rsidRPr="00174FB3">
        <w:rPr>
          <w:rFonts w:ascii="Times New Roman" w:eastAsia="Times New Roman" w:hAnsi="Times New Roman" w:cs="Times New Roman"/>
          <w:bCs/>
          <w:sz w:val="24"/>
          <w:szCs w:val="24"/>
        </w:rPr>
        <w:t>panta prasībām;</w:t>
      </w:r>
    </w:p>
    <w:p w14:paraId="1BE6489F"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būvprojekta ekspertīzes veikšanas ierobežojumi;</w:t>
      </w:r>
    </w:p>
    <w:p w14:paraId="6C7CCC9B"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būvekspertīzes saturs un būvekspertīzes rezultātu uzglabāšana;</w:t>
      </w:r>
    </w:p>
    <w:p w14:paraId="0AC25624"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būvekspertīzes izpildes termiņš, derīguma termiņš un uzglabāšanas ilgums;</w:t>
      </w:r>
    </w:p>
    <w:p w14:paraId="5C6F520F"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būvekspertīzes dokumentācija un būves ekspertīzes atzinuma mērķis;</w:t>
      </w:r>
    </w:p>
    <w:p w14:paraId="35ABDF05"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būvprojekta ekspertīzes veikšanai nepieciešamā dokumentācija.</w:t>
      </w:r>
    </w:p>
    <w:p w14:paraId="1D9786EE"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Lai pārliecinātos par kandidāta praktiskajām spējām attiecībā uz būvprojekta vai būves ekspertīzes atzinuma sagatavošanu atbilstoši būvekspertīzes specialitātei, tests ietver jautājumus par:</w:t>
      </w:r>
    </w:p>
    <w:p w14:paraId="59201035"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ekspertīzes uzdevumu;</w:t>
      </w:r>
    </w:p>
    <w:p w14:paraId="3E1AA07D"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ekspertīzes uzdevuma izpildi savas tiešās kompetences ietvaros;</w:t>
      </w:r>
    </w:p>
    <w:p w14:paraId="1E8BB015"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papildus izvirzītajiem ekspertīzes uzdevumiem;</w:t>
      </w:r>
    </w:p>
    <w:p w14:paraId="6FEED2D8"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veicamajiem aprēķiniem, mērījumiem un testiem;</w:t>
      </w:r>
    </w:p>
    <w:p w14:paraId="381B91AB"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piesaistīto apakšuzņēmēju pārvaldību attiecībā uz darbiem, par kuriem eksperts  ir atbildīgs;</w:t>
      </w:r>
    </w:p>
    <w:p w14:paraId="14B027DD"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ekspertīzes secinājumu un slēdzienu noformēšanu un turpmāko rīcību.</w:t>
      </w:r>
    </w:p>
    <w:p w14:paraId="44F5FB7D"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Lai pārliecinātos par kandidāta atbilstību nozarē izvirzītajām kompetences prasībām, tests ietver gan slēgta, gan atvērta tipa jautājumus ar situāciju analīzes piemēriem, tādējādi izvērtējot kandidāta atbilstību noteiktiem vērtēšanas kritērijiem atbilstoši testa struktūrai un vērtēšanas sadaļai.</w:t>
      </w:r>
    </w:p>
    <w:p w14:paraId="2863F0D7"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Kompetences pārbaude tiek organizēta ne retāk kā reizi mēnesī, ja BSN ir saņemts vismaz viens pretendenta pieteikums.</w:t>
      </w:r>
    </w:p>
    <w:p w14:paraId="1D1B2FF7"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Eksaminācijas norises un rezultātu vērtēšanas kārtība ir noteikta </w:t>
      </w:r>
      <w:proofErr w:type="spellStart"/>
      <w:r w:rsidRPr="00B979C8">
        <w:rPr>
          <w:rFonts w:ascii="Times New Roman" w:eastAsia="Times New Roman" w:hAnsi="Times New Roman" w:cs="Times New Roman"/>
          <w:bCs/>
          <w:sz w:val="24"/>
          <w:szCs w:val="24"/>
        </w:rPr>
        <w:t>apakšprocesā</w:t>
      </w:r>
      <w:proofErr w:type="spellEnd"/>
      <w:r w:rsidRPr="00B979C8">
        <w:rPr>
          <w:rFonts w:ascii="Times New Roman" w:eastAsia="Times New Roman" w:hAnsi="Times New Roman" w:cs="Times New Roman"/>
          <w:bCs/>
          <w:sz w:val="24"/>
          <w:szCs w:val="24"/>
        </w:rPr>
        <w:t xml:space="preserve"> PP.BVS.Nr.3 “Kompetences pārbaude”.</w:t>
      </w:r>
    </w:p>
    <w:p w14:paraId="370BD1A0" w14:textId="77777777" w:rsidR="00772B9B" w:rsidRPr="000D2F63" w:rsidRDefault="00772B9B" w:rsidP="00772B9B">
      <w:pPr>
        <w:pStyle w:val="NormalWeb"/>
        <w:spacing w:before="0" w:beforeAutospacing="0" w:after="0" w:afterAutospacing="0"/>
        <w:ind w:left="360"/>
        <w:jc w:val="both"/>
      </w:pPr>
    </w:p>
    <w:p w14:paraId="5B75B81F" w14:textId="77777777" w:rsidR="00772B9B" w:rsidRPr="00772B9B" w:rsidRDefault="005E5CF5" w:rsidP="00EB2638">
      <w:pPr>
        <w:pStyle w:val="ListParagraph"/>
        <w:numPr>
          <w:ilvl w:val="0"/>
          <w:numId w:val="1"/>
        </w:numPr>
        <w:jc w:val="both"/>
        <w:rPr>
          <w:rFonts w:ascii="Times New Roman" w:hAnsi="Times New Roman" w:cs="Times New Roman"/>
          <w:sz w:val="24"/>
          <w:szCs w:val="24"/>
          <w:lang w:eastAsia="lv-LV"/>
        </w:rPr>
      </w:pPr>
      <w:r w:rsidRPr="0074638E">
        <w:rPr>
          <w:rFonts w:ascii="Times New Roman" w:hAnsi="Times New Roman" w:cs="Times New Roman"/>
          <w:b/>
          <w:sz w:val="24"/>
          <w:szCs w:val="24"/>
        </w:rPr>
        <w:t xml:space="preserve">Lēmuma pieņemšana par </w:t>
      </w:r>
      <w:proofErr w:type="spellStart"/>
      <w:r w:rsidRPr="0074638E">
        <w:rPr>
          <w:rFonts w:ascii="Times New Roman" w:hAnsi="Times New Roman" w:cs="Times New Roman"/>
          <w:b/>
          <w:sz w:val="24"/>
          <w:szCs w:val="24"/>
        </w:rPr>
        <w:t>būvspeciālista</w:t>
      </w:r>
      <w:proofErr w:type="spellEnd"/>
      <w:r w:rsidRPr="0074638E">
        <w:rPr>
          <w:rFonts w:ascii="Times New Roman" w:hAnsi="Times New Roman" w:cs="Times New Roman"/>
          <w:b/>
          <w:sz w:val="24"/>
          <w:szCs w:val="24"/>
        </w:rPr>
        <w:t xml:space="preserve"> sertifikāciju un sertifikāta izsniegšana</w:t>
      </w:r>
    </w:p>
    <w:p w14:paraId="4E2564AA"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BSN vadītājs iepazīstas ar eksaminācijas komisijas vērtējumu. </w:t>
      </w:r>
    </w:p>
    <w:p w14:paraId="0B939AB6"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Ja eksāmens ir nokārtots, BSN vadītājs 5 darba dienu laikā pieņem lēmumu par </w:t>
      </w:r>
      <w:proofErr w:type="spellStart"/>
      <w:r w:rsidRPr="00174FB3">
        <w:rPr>
          <w:rFonts w:ascii="Times New Roman" w:eastAsia="Times New Roman" w:hAnsi="Times New Roman" w:cs="Times New Roman"/>
          <w:bCs/>
          <w:sz w:val="24"/>
          <w:szCs w:val="24"/>
        </w:rPr>
        <w:t>būvspeciālista</w:t>
      </w:r>
      <w:proofErr w:type="spellEnd"/>
      <w:r w:rsidRPr="00174FB3">
        <w:rPr>
          <w:rFonts w:ascii="Times New Roman" w:eastAsia="Times New Roman" w:hAnsi="Times New Roman" w:cs="Times New Roman"/>
          <w:bCs/>
          <w:sz w:val="24"/>
          <w:szCs w:val="24"/>
        </w:rPr>
        <w:t xml:space="preserve"> sertifikāta piešķiršanu vai darbības sfēru pievienošanu.</w:t>
      </w:r>
    </w:p>
    <w:p w14:paraId="38A30080"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Ja eksāmens nav nokārtots, BSN vadītājs 5 darba dienu laikā pieņem lēmumu par kompetences novērtēšanas termiņa pagarināšanu ne mazāk kā uz vienu mēnesi un informē kandidātu par atkārtotu iespēju nokārtot pārbaudi, norādot eksaminācijas laiku un vietu. </w:t>
      </w:r>
    </w:p>
    <w:p w14:paraId="6056F3CF"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lastRenderedPageBreak/>
        <w:t>Ja kandidāts atkārtoti nav nokārtojis kompetences pārbaudi, BSN vadītājs 5 darba dienu laikā pieņem lēmumu par kandidāta kompetences neatbilstību.</w:t>
      </w:r>
    </w:p>
    <w:p w14:paraId="02D426B7"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933E37">
        <w:rPr>
          <w:rFonts w:ascii="Times New Roman" w:eastAsia="Times New Roman" w:hAnsi="Times New Roman" w:cs="Times New Roman"/>
          <w:bCs/>
          <w:sz w:val="24"/>
          <w:szCs w:val="24"/>
        </w:rPr>
        <w:t>BSN</w:t>
      </w:r>
      <w:r w:rsidRPr="00174FB3">
        <w:rPr>
          <w:rFonts w:ascii="Times New Roman" w:eastAsia="Times New Roman" w:hAnsi="Times New Roman" w:cs="Times New Roman"/>
          <w:bCs/>
          <w:sz w:val="24"/>
          <w:szCs w:val="24"/>
        </w:rPr>
        <w:t xml:space="preserve"> vadītājs sagatavo lēmumu BIS </w:t>
      </w:r>
      <w:proofErr w:type="spellStart"/>
      <w:r w:rsidRPr="00174FB3">
        <w:rPr>
          <w:rFonts w:ascii="Times New Roman" w:eastAsia="Times New Roman" w:hAnsi="Times New Roman" w:cs="Times New Roman"/>
          <w:bCs/>
          <w:sz w:val="24"/>
          <w:szCs w:val="24"/>
        </w:rPr>
        <w:t>Būvspeciālistu</w:t>
      </w:r>
      <w:proofErr w:type="spellEnd"/>
      <w:r w:rsidRPr="00174FB3">
        <w:rPr>
          <w:rFonts w:ascii="Times New Roman" w:eastAsia="Times New Roman" w:hAnsi="Times New Roman" w:cs="Times New Roman"/>
          <w:bCs/>
          <w:sz w:val="24"/>
          <w:szCs w:val="24"/>
        </w:rPr>
        <w:t xml:space="preserve"> reģistrā un paraksta to ar drošu elektronisko parakstu. Lēmums automātiski tiek nosūtīts </w:t>
      </w:r>
      <w:proofErr w:type="spellStart"/>
      <w:r w:rsidRPr="00174FB3">
        <w:rPr>
          <w:rFonts w:ascii="Times New Roman" w:eastAsia="Times New Roman" w:hAnsi="Times New Roman" w:cs="Times New Roman"/>
          <w:bCs/>
          <w:sz w:val="24"/>
          <w:szCs w:val="24"/>
        </w:rPr>
        <w:t>būvspeciālistam</w:t>
      </w:r>
      <w:proofErr w:type="spellEnd"/>
      <w:r w:rsidRPr="00174FB3">
        <w:rPr>
          <w:rFonts w:ascii="Times New Roman" w:eastAsia="Times New Roman" w:hAnsi="Times New Roman" w:cs="Times New Roman"/>
          <w:bCs/>
          <w:sz w:val="24"/>
          <w:szCs w:val="24"/>
        </w:rPr>
        <w:t xml:space="preserve"> uz norādīto elektroniskā pasta adresi.</w:t>
      </w:r>
    </w:p>
    <w:p w14:paraId="1FDDFE25"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Ja kandidāts objektīvu apstākļu dēļ nav ieradies uz kompetences pārbaudi, BSN 5 darba dienu laikā pieņem lēmumu par kompetences novērtēšanas termiņa pagarināšanu </w:t>
      </w:r>
      <w:r w:rsidR="009F048D" w:rsidRPr="00B979C8">
        <w:rPr>
          <w:rFonts w:ascii="Times New Roman" w:eastAsia="Times New Roman" w:hAnsi="Times New Roman" w:cs="Times New Roman"/>
          <w:bCs/>
          <w:sz w:val="24"/>
          <w:szCs w:val="24"/>
        </w:rPr>
        <w:t xml:space="preserve">ne mazāk kā </w:t>
      </w:r>
      <w:r w:rsidRPr="00B979C8">
        <w:rPr>
          <w:rFonts w:ascii="Times New Roman" w:eastAsia="Times New Roman" w:hAnsi="Times New Roman" w:cs="Times New Roman"/>
          <w:bCs/>
          <w:sz w:val="24"/>
          <w:szCs w:val="24"/>
        </w:rPr>
        <w:t>uz vienu mēnesi un informē kandidātu par atkārtotu iespēju nokārtot testu, norādot tā norises vietu un laiku.</w:t>
      </w:r>
    </w:p>
    <w:p w14:paraId="226B85BF" w14:textId="079185C0"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bookmarkStart w:id="3" w:name="p29"/>
      <w:bookmarkStart w:id="4" w:name="p-652462"/>
      <w:bookmarkStart w:id="5" w:name="p30"/>
      <w:bookmarkStart w:id="6" w:name="p-652463"/>
      <w:bookmarkEnd w:id="3"/>
      <w:bookmarkEnd w:id="4"/>
      <w:bookmarkEnd w:id="5"/>
      <w:bookmarkEnd w:id="6"/>
      <w:r w:rsidRPr="00B979C8">
        <w:rPr>
          <w:rFonts w:ascii="Times New Roman" w:eastAsia="Times New Roman" w:hAnsi="Times New Roman" w:cs="Times New Roman"/>
          <w:bCs/>
          <w:sz w:val="24"/>
          <w:szCs w:val="24"/>
        </w:rPr>
        <w:t xml:space="preserve">Personai ir tiesības pretendēt uz kompetences pārbaudi ne agrāk kā sešus mēnešus pēc lēmuma pieņemšanas par personas kompetences neatbilstību, </w:t>
      </w:r>
      <w:r w:rsidR="00F96A4B">
        <w:rPr>
          <w:rFonts w:ascii="Times New Roman" w:eastAsia="Times New Roman" w:hAnsi="Times New Roman" w:cs="Times New Roman"/>
          <w:bCs/>
          <w:sz w:val="24"/>
          <w:szCs w:val="24"/>
        </w:rPr>
        <w:t>aizpildot</w:t>
      </w:r>
      <w:r w:rsidR="00F96A4B" w:rsidRPr="00B979C8">
        <w:rPr>
          <w:rFonts w:ascii="Times New Roman" w:eastAsia="Times New Roman" w:hAnsi="Times New Roman" w:cs="Times New Roman"/>
          <w:bCs/>
          <w:sz w:val="24"/>
          <w:szCs w:val="24"/>
        </w:rPr>
        <w:t xml:space="preserve"> </w:t>
      </w:r>
      <w:r w:rsidRPr="00B979C8">
        <w:rPr>
          <w:rFonts w:ascii="Times New Roman" w:eastAsia="Times New Roman" w:hAnsi="Times New Roman" w:cs="Times New Roman"/>
          <w:bCs/>
          <w:sz w:val="24"/>
          <w:szCs w:val="24"/>
        </w:rPr>
        <w:t>5.1.</w:t>
      </w:r>
      <w:r w:rsidR="000D2C2C">
        <w:rPr>
          <w:rFonts w:ascii="Times New Roman" w:eastAsia="Times New Roman" w:hAnsi="Times New Roman" w:cs="Times New Roman"/>
          <w:bCs/>
          <w:sz w:val="24"/>
          <w:szCs w:val="24"/>
        </w:rPr>
        <w:t xml:space="preserve"> </w:t>
      </w:r>
      <w:r w:rsidRPr="00B979C8">
        <w:rPr>
          <w:rFonts w:ascii="Times New Roman" w:eastAsia="Times New Roman" w:hAnsi="Times New Roman" w:cs="Times New Roman"/>
          <w:bCs/>
          <w:sz w:val="24"/>
          <w:szCs w:val="24"/>
        </w:rPr>
        <w:t>apakšpunktā norādīto</w:t>
      </w:r>
      <w:r w:rsidR="00F96A4B">
        <w:rPr>
          <w:rFonts w:ascii="Times New Roman" w:eastAsia="Times New Roman" w:hAnsi="Times New Roman" w:cs="Times New Roman"/>
          <w:bCs/>
          <w:sz w:val="24"/>
          <w:szCs w:val="24"/>
        </w:rPr>
        <w:t xml:space="preserve"> iesniegumu</w:t>
      </w:r>
      <w:r w:rsidRPr="00B979C8">
        <w:rPr>
          <w:rFonts w:ascii="Times New Roman" w:eastAsia="Times New Roman" w:hAnsi="Times New Roman" w:cs="Times New Roman"/>
          <w:bCs/>
          <w:sz w:val="24"/>
          <w:szCs w:val="24"/>
        </w:rPr>
        <w:t>.</w:t>
      </w:r>
    </w:p>
    <w:p w14:paraId="11F6B2A0" w14:textId="336EEEC8" w:rsidR="00772B9B" w:rsidRPr="009133BF" w:rsidRDefault="005E5CF5" w:rsidP="00486CAD">
      <w:pPr>
        <w:pStyle w:val="ListParagraph"/>
        <w:numPr>
          <w:ilvl w:val="1"/>
          <w:numId w:val="1"/>
        </w:numPr>
        <w:ind w:left="567" w:hanging="567"/>
        <w:jc w:val="both"/>
        <w:rPr>
          <w:rFonts w:ascii="Times New Roman" w:hAnsi="Times New Roman" w:cs="Times New Roman"/>
          <w:sz w:val="24"/>
          <w:szCs w:val="24"/>
        </w:rPr>
      </w:pPr>
      <w:r w:rsidRPr="00B979C8">
        <w:rPr>
          <w:rFonts w:ascii="Times New Roman" w:eastAsia="Times New Roman" w:hAnsi="Times New Roman" w:cs="Times New Roman"/>
          <w:bCs/>
          <w:sz w:val="24"/>
          <w:szCs w:val="24"/>
        </w:rPr>
        <w:t xml:space="preserve">Lēmumā par </w:t>
      </w:r>
      <w:proofErr w:type="spellStart"/>
      <w:r w:rsidRPr="00B979C8">
        <w:rPr>
          <w:rFonts w:ascii="Times New Roman" w:eastAsia="Times New Roman" w:hAnsi="Times New Roman" w:cs="Times New Roman"/>
          <w:bCs/>
          <w:sz w:val="24"/>
          <w:szCs w:val="24"/>
        </w:rPr>
        <w:t>būvspeciālista</w:t>
      </w:r>
      <w:proofErr w:type="spellEnd"/>
      <w:r w:rsidRPr="00B979C8">
        <w:rPr>
          <w:rFonts w:ascii="Times New Roman" w:eastAsia="Times New Roman" w:hAnsi="Times New Roman" w:cs="Times New Roman"/>
          <w:bCs/>
          <w:sz w:val="24"/>
          <w:szCs w:val="24"/>
        </w:rPr>
        <w:t xml:space="preserve"> sertifikāta piešķiršanu vai darbības sfēru pievienošanu tiek</w:t>
      </w:r>
      <w:r w:rsidRPr="0074638E">
        <w:rPr>
          <w:rFonts w:ascii="Times New Roman" w:hAnsi="Times New Roman" w:cs="Times New Roman"/>
          <w:sz w:val="24"/>
          <w:szCs w:val="24"/>
        </w:rPr>
        <w:t xml:space="preserve"> </w:t>
      </w:r>
      <w:r w:rsidRPr="009133BF">
        <w:rPr>
          <w:rFonts w:ascii="Times New Roman" w:hAnsi="Times New Roman" w:cs="Times New Roman"/>
          <w:sz w:val="24"/>
          <w:szCs w:val="24"/>
        </w:rPr>
        <w:t>ietverta šāda informācij</w:t>
      </w:r>
      <w:r w:rsidR="009B359E">
        <w:rPr>
          <w:rFonts w:ascii="Times New Roman" w:hAnsi="Times New Roman" w:cs="Times New Roman"/>
          <w:sz w:val="24"/>
          <w:szCs w:val="24"/>
        </w:rPr>
        <w:t>a</w:t>
      </w:r>
      <w:r w:rsidRPr="009133BF">
        <w:rPr>
          <w:rFonts w:ascii="Times New Roman" w:hAnsi="Times New Roman" w:cs="Times New Roman"/>
          <w:sz w:val="24"/>
          <w:szCs w:val="24"/>
        </w:rPr>
        <w:t>:</w:t>
      </w:r>
    </w:p>
    <w:p w14:paraId="402F6D7B" w14:textId="77777777" w:rsidR="00772B9B" w:rsidRPr="009133BF" w:rsidRDefault="005E5CF5" w:rsidP="00174FB3">
      <w:pPr>
        <w:pStyle w:val="ListParagraph"/>
        <w:numPr>
          <w:ilvl w:val="2"/>
          <w:numId w:val="1"/>
        </w:numPr>
        <w:jc w:val="both"/>
        <w:rPr>
          <w:rFonts w:ascii="Times New Roman" w:eastAsia="Times New Roman" w:hAnsi="Times New Roman" w:cs="Times New Roman"/>
          <w:bCs/>
          <w:sz w:val="24"/>
          <w:szCs w:val="24"/>
        </w:rPr>
      </w:pPr>
      <w:r w:rsidRPr="009133BF">
        <w:rPr>
          <w:rFonts w:ascii="Times New Roman" w:eastAsia="Times New Roman" w:hAnsi="Times New Roman" w:cs="Times New Roman"/>
          <w:bCs/>
          <w:sz w:val="24"/>
          <w:szCs w:val="24"/>
        </w:rPr>
        <w:t>BSN pilns nosaukums;</w:t>
      </w:r>
    </w:p>
    <w:p w14:paraId="7687DADA" w14:textId="77777777" w:rsidR="00772B9B" w:rsidRPr="009133BF" w:rsidRDefault="005E5CF5" w:rsidP="00174FB3">
      <w:pPr>
        <w:pStyle w:val="ListParagraph"/>
        <w:numPr>
          <w:ilvl w:val="2"/>
          <w:numId w:val="1"/>
        </w:numPr>
        <w:jc w:val="both"/>
        <w:rPr>
          <w:rFonts w:ascii="Times New Roman" w:eastAsia="Times New Roman" w:hAnsi="Times New Roman" w:cs="Times New Roman"/>
          <w:bCs/>
          <w:sz w:val="24"/>
          <w:szCs w:val="24"/>
        </w:rPr>
      </w:pPr>
      <w:r w:rsidRPr="009133BF">
        <w:rPr>
          <w:rFonts w:ascii="Times New Roman" w:eastAsia="Times New Roman" w:hAnsi="Times New Roman" w:cs="Times New Roman"/>
          <w:bCs/>
          <w:sz w:val="24"/>
          <w:szCs w:val="24"/>
        </w:rPr>
        <w:t>lēmuma pieņemšanas datums un numurs;</w:t>
      </w:r>
    </w:p>
    <w:p w14:paraId="54E3CEDC" w14:textId="77777777" w:rsidR="00772B9B" w:rsidRPr="009133BF" w:rsidRDefault="005E5CF5" w:rsidP="00174FB3">
      <w:pPr>
        <w:pStyle w:val="ListParagraph"/>
        <w:numPr>
          <w:ilvl w:val="2"/>
          <w:numId w:val="1"/>
        </w:numPr>
        <w:jc w:val="both"/>
        <w:rPr>
          <w:rFonts w:ascii="Times New Roman" w:eastAsia="Times New Roman" w:hAnsi="Times New Roman" w:cs="Times New Roman"/>
          <w:bCs/>
          <w:sz w:val="24"/>
          <w:szCs w:val="24"/>
        </w:rPr>
      </w:pPr>
      <w:r w:rsidRPr="009133BF">
        <w:rPr>
          <w:rFonts w:ascii="Times New Roman" w:eastAsia="Times New Roman" w:hAnsi="Times New Roman" w:cs="Times New Roman"/>
          <w:bCs/>
          <w:sz w:val="24"/>
          <w:szCs w:val="24"/>
        </w:rPr>
        <w:t>sertificētās personas vārds, uzvārds un personas kods;</w:t>
      </w:r>
    </w:p>
    <w:p w14:paraId="4283BCE4" w14:textId="77777777" w:rsidR="00772B9B" w:rsidRPr="009133BF" w:rsidRDefault="005E5CF5" w:rsidP="00174FB3">
      <w:pPr>
        <w:pStyle w:val="ListParagraph"/>
        <w:numPr>
          <w:ilvl w:val="2"/>
          <w:numId w:val="1"/>
        </w:numPr>
        <w:jc w:val="both"/>
        <w:rPr>
          <w:rFonts w:ascii="Times New Roman" w:eastAsia="Times New Roman" w:hAnsi="Times New Roman" w:cs="Times New Roman"/>
          <w:bCs/>
          <w:sz w:val="24"/>
          <w:szCs w:val="24"/>
        </w:rPr>
      </w:pPr>
      <w:r w:rsidRPr="009133BF">
        <w:rPr>
          <w:rFonts w:ascii="Times New Roman" w:eastAsia="Times New Roman" w:hAnsi="Times New Roman" w:cs="Times New Roman"/>
          <w:bCs/>
          <w:sz w:val="24"/>
          <w:szCs w:val="24"/>
        </w:rPr>
        <w:t>atsauce uz piemēroto normatīvo aktu un sertifikācijas shēmu;</w:t>
      </w:r>
    </w:p>
    <w:p w14:paraId="52F2510A" w14:textId="77777777" w:rsidR="00772B9B" w:rsidRPr="009133BF" w:rsidRDefault="005E5CF5" w:rsidP="00174FB3">
      <w:pPr>
        <w:pStyle w:val="ListParagraph"/>
        <w:numPr>
          <w:ilvl w:val="2"/>
          <w:numId w:val="1"/>
        </w:numPr>
        <w:jc w:val="both"/>
        <w:rPr>
          <w:rFonts w:ascii="Times New Roman" w:eastAsia="Times New Roman" w:hAnsi="Times New Roman" w:cs="Times New Roman"/>
          <w:bCs/>
          <w:sz w:val="24"/>
          <w:szCs w:val="24"/>
        </w:rPr>
      </w:pPr>
      <w:r w:rsidRPr="009133BF">
        <w:rPr>
          <w:rFonts w:ascii="Times New Roman" w:eastAsia="Times New Roman" w:hAnsi="Times New Roman" w:cs="Times New Roman"/>
          <w:bCs/>
          <w:sz w:val="24"/>
          <w:szCs w:val="24"/>
        </w:rPr>
        <w:t>sertificēšanas joma, specialitāte un darbības sfēra;</w:t>
      </w:r>
    </w:p>
    <w:p w14:paraId="351BE126" w14:textId="77777777" w:rsidR="00772B9B" w:rsidRPr="009133BF" w:rsidRDefault="005E5CF5" w:rsidP="00174FB3">
      <w:pPr>
        <w:pStyle w:val="ListParagraph"/>
        <w:numPr>
          <w:ilvl w:val="2"/>
          <w:numId w:val="1"/>
        </w:numPr>
        <w:jc w:val="both"/>
        <w:rPr>
          <w:rFonts w:ascii="Times New Roman" w:eastAsia="Times New Roman" w:hAnsi="Times New Roman" w:cs="Times New Roman"/>
          <w:bCs/>
          <w:sz w:val="24"/>
          <w:szCs w:val="24"/>
        </w:rPr>
      </w:pPr>
      <w:proofErr w:type="spellStart"/>
      <w:r w:rsidRPr="009133BF">
        <w:rPr>
          <w:rFonts w:ascii="Times New Roman" w:eastAsia="Times New Roman" w:hAnsi="Times New Roman" w:cs="Times New Roman"/>
          <w:bCs/>
          <w:sz w:val="24"/>
          <w:szCs w:val="24"/>
        </w:rPr>
        <w:t>būvspeciālista</w:t>
      </w:r>
      <w:proofErr w:type="spellEnd"/>
      <w:r w:rsidRPr="009133BF">
        <w:rPr>
          <w:rFonts w:ascii="Times New Roman" w:eastAsia="Times New Roman" w:hAnsi="Times New Roman" w:cs="Times New Roman"/>
          <w:bCs/>
          <w:sz w:val="24"/>
          <w:szCs w:val="24"/>
        </w:rPr>
        <w:t xml:space="preserve"> sertifikāta reģistrācijas numurs </w:t>
      </w:r>
      <w:proofErr w:type="spellStart"/>
      <w:r w:rsidRPr="009133BF">
        <w:rPr>
          <w:rFonts w:ascii="Times New Roman" w:eastAsia="Times New Roman" w:hAnsi="Times New Roman" w:cs="Times New Roman"/>
          <w:bCs/>
          <w:sz w:val="24"/>
          <w:szCs w:val="24"/>
        </w:rPr>
        <w:t>būvspeciālistu</w:t>
      </w:r>
      <w:proofErr w:type="spellEnd"/>
      <w:r w:rsidRPr="009133BF">
        <w:rPr>
          <w:rFonts w:ascii="Times New Roman" w:eastAsia="Times New Roman" w:hAnsi="Times New Roman" w:cs="Times New Roman"/>
          <w:bCs/>
          <w:sz w:val="24"/>
          <w:szCs w:val="24"/>
        </w:rPr>
        <w:t xml:space="preserve"> reģistrā;</w:t>
      </w:r>
    </w:p>
    <w:p w14:paraId="09993398" w14:textId="77777777" w:rsidR="00772B9B" w:rsidRPr="009133BF" w:rsidRDefault="005E5CF5" w:rsidP="00174FB3">
      <w:pPr>
        <w:pStyle w:val="ListParagraph"/>
        <w:numPr>
          <w:ilvl w:val="2"/>
          <w:numId w:val="1"/>
        </w:numPr>
        <w:jc w:val="both"/>
        <w:rPr>
          <w:rFonts w:ascii="Times New Roman" w:eastAsia="Times New Roman" w:hAnsi="Times New Roman" w:cs="Times New Roman"/>
          <w:bCs/>
          <w:sz w:val="24"/>
          <w:szCs w:val="24"/>
        </w:rPr>
      </w:pPr>
      <w:r w:rsidRPr="009133BF">
        <w:rPr>
          <w:rFonts w:ascii="Times New Roman" w:eastAsia="Times New Roman" w:hAnsi="Times New Roman" w:cs="Times New Roman"/>
          <w:bCs/>
          <w:sz w:val="24"/>
          <w:szCs w:val="24"/>
        </w:rPr>
        <w:t>darbības sfēras reģistrācijas numurs un pievienošanas datums;</w:t>
      </w:r>
    </w:p>
    <w:p w14:paraId="555CF7F4" w14:textId="77777777" w:rsidR="00772B9B" w:rsidRPr="009133BF" w:rsidRDefault="005E5CF5" w:rsidP="00174FB3">
      <w:pPr>
        <w:pStyle w:val="ListParagraph"/>
        <w:numPr>
          <w:ilvl w:val="2"/>
          <w:numId w:val="1"/>
        </w:numPr>
        <w:jc w:val="both"/>
        <w:rPr>
          <w:rFonts w:ascii="Times New Roman" w:eastAsia="Times New Roman" w:hAnsi="Times New Roman" w:cs="Times New Roman"/>
          <w:bCs/>
          <w:sz w:val="24"/>
          <w:szCs w:val="24"/>
        </w:rPr>
      </w:pPr>
      <w:r w:rsidRPr="009133BF">
        <w:rPr>
          <w:rFonts w:ascii="Times New Roman" w:eastAsia="Times New Roman" w:hAnsi="Times New Roman" w:cs="Times New Roman"/>
          <w:bCs/>
          <w:sz w:val="24"/>
          <w:szCs w:val="24"/>
        </w:rPr>
        <w:t xml:space="preserve">norāde, ka aktuālā informācija par </w:t>
      </w:r>
      <w:proofErr w:type="spellStart"/>
      <w:r w:rsidRPr="009133BF">
        <w:rPr>
          <w:rFonts w:ascii="Times New Roman" w:eastAsia="Times New Roman" w:hAnsi="Times New Roman" w:cs="Times New Roman"/>
          <w:bCs/>
          <w:sz w:val="24"/>
          <w:szCs w:val="24"/>
        </w:rPr>
        <w:t>būvspeciālista</w:t>
      </w:r>
      <w:proofErr w:type="spellEnd"/>
      <w:r w:rsidRPr="009133BF">
        <w:rPr>
          <w:rFonts w:ascii="Times New Roman" w:eastAsia="Times New Roman" w:hAnsi="Times New Roman" w:cs="Times New Roman"/>
          <w:bCs/>
          <w:sz w:val="24"/>
          <w:szCs w:val="24"/>
        </w:rPr>
        <w:t xml:space="preserve"> sertifikātu un darbības sfēru elektroniski pieejama BIS tīmekļvietnē (</w:t>
      </w:r>
      <w:hyperlink r:id="rId10" w:history="1">
        <w:r w:rsidR="00226C9C" w:rsidRPr="009133BF">
          <w:rPr>
            <w:rStyle w:val="Hyperlink"/>
            <w:rFonts w:ascii="Times New Roman" w:eastAsia="Times New Roman" w:hAnsi="Times New Roman" w:cs="Times New Roman"/>
            <w:bCs/>
            <w:sz w:val="24"/>
            <w:szCs w:val="24"/>
          </w:rPr>
          <w:t>www.bis.gov.lv</w:t>
        </w:r>
      </w:hyperlink>
      <w:r w:rsidRPr="009133BF">
        <w:rPr>
          <w:rFonts w:ascii="Times New Roman" w:eastAsia="Times New Roman" w:hAnsi="Times New Roman" w:cs="Times New Roman"/>
          <w:bCs/>
          <w:sz w:val="24"/>
          <w:szCs w:val="24"/>
        </w:rPr>
        <w:t>).</w:t>
      </w:r>
      <w:bookmarkStart w:id="7" w:name="p26"/>
      <w:bookmarkStart w:id="8" w:name="p-652459"/>
      <w:bookmarkEnd w:id="7"/>
      <w:bookmarkEnd w:id="8"/>
    </w:p>
    <w:p w14:paraId="6AA12C25"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9133BF">
        <w:rPr>
          <w:rFonts w:ascii="Times New Roman" w:eastAsia="Times New Roman" w:hAnsi="Times New Roman" w:cs="Times New Roman"/>
          <w:bCs/>
          <w:sz w:val="24"/>
          <w:szCs w:val="24"/>
        </w:rPr>
        <w:t>Pēc</w:t>
      </w:r>
      <w:r w:rsidRPr="00B979C8">
        <w:rPr>
          <w:rFonts w:ascii="Times New Roman" w:eastAsia="Times New Roman" w:hAnsi="Times New Roman" w:cs="Times New Roman"/>
          <w:bCs/>
          <w:sz w:val="24"/>
          <w:szCs w:val="24"/>
        </w:rPr>
        <w:t xml:space="preserve"> </w:t>
      </w:r>
      <w:proofErr w:type="spellStart"/>
      <w:r w:rsidRPr="00B979C8">
        <w:rPr>
          <w:rFonts w:ascii="Times New Roman" w:eastAsia="Times New Roman" w:hAnsi="Times New Roman" w:cs="Times New Roman"/>
          <w:bCs/>
          <w:sz w:val="24"/>
          <w:szCs w:val="24"/>
        </w:rPr>
        <w:t>būvspeciālista</w:t>
      </w:r>
      <w:proofErr w:type="spellEnd"/>
      <w:r w:rsidRPr="00B979C8">
        <w:rPr>
          <w:rFonts w:ascii="Times New Roman" w:eastAsia="Times New Roman" w:hAnsi="Times New Roman" w:cs="Times New Roman"/>
          <w:bCs/>
          <w:sz w:val="24"/>
          <w:szCs w:val="24"/>
        </w:rPr>
        <w:t xml:space="preserve"> rakstiska pieprasījuma saņemšanas BSN izsniedz sertifikātu papīra dokumenta formā, ko ar </w:t>
      </w:r>
      <w:r w:rsidR="0069693A" w:rsidRPr="00B979C8">
        <w:rPr>
          <w:rFonts w:ascii="Times New Roman" w:eastAsia="Times New Roman" w:hAnsi="Times New Roman" w:cs="Times New Roman"/>
          <w:bCs/>
          <w:sz w:val="24"/>
          <w:szCs w:val="24"/>
        </w:rPr>
        <w:t>parakstu</w:t>
      </w:r>
      <w:r w:rsidRPr="00B979C8">
        <w:rPr>
          <w:rFonts w:ascii="Times New Roman" w:eastAsia="Times New Roman" w:hAnsi="Times New Roman" w:cs="Times New Roman"/>
          <w:bCs/>
          <w:sz w:val="24"/>
          <w:szCs w:val="24"/>
        </w:rPr>
        <w:t xml:space="preserve"> apliecina Biroja direktors un BSN amatpersona.</w:t>
      </w:r>
    </w:p>
    <w:p w14:paraId="442785D8"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Papīra dokumenta formas sertifikātā (skat. Forma Nr.1) norāda šādu informāciju:</w:t>
      </w:r>
    </w:p>
    <w:p w14:paraId="3B4699B8"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BSN pilnu nosaukumu;</w:t>
      </w:r>
    </w:p>
    <w:p w14:paraId="1E83F10D"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sertificēšanas jomu, specialitāti, reģistrācijas numuru </w:t>
      </w:r>
      <w:proofErr w:type="spellStart"/>
      <w:r w:rsidRPr="00174FB3">
        <w:rPr>
          <w:rFonts w:ascii="Times New Roman" w:eastAsia="Times New Roman" w:hAnsi="Times New Roman" w:cs="Times New Roman"/>
          <w:bCs/>
          <w:sz w:val="24"/>
          <w:szCs w:val="24"/>
        </w:rPr>
        <w:t>būvspeciālistu</w:t>
      </w:r>
      <w:proofErr w:type="spellEnd"/>
      <w:r w:rsidRPr="00174FB3">
        <w:rPr>
          <w:rFonts w:ascii="Times New Roman" w:eastAsia="Times New Roman" w:hAnsi="Times New Roman" w:cs="Times New Roman"/>
          <w:bCs/>
          <w:sz w:val="24"/>
          <w:szCs w:val="24"/>
        </w:rPr>
        <w:t xml:space="preserve"> reģistrā;</w:t>
      </w:r>
    </w:p>
    <w:p w14:paraId="46C344F5"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sertificēšanas lēmuma datumu un numuru;</w:t>
      </w:r>
    </w:p>
    <w:p w14:paraId="4C393E8C"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atsauci uz piemēroto normatīvo aktu un sertifikācijas shēmu;</w:t>
      </w:r>
    </w:p>
    <w:p w14:paraId="4B216F01"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sertificētās personas vārdu, uzvārdu un personas kodu;</w:t>
      </w:r>
    </w:p>
    <w:p w14:paraId="5CAC53A7"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darbības sfēru un reģistrācijas numuru </w:t>
      </w:r>
      <w:proofErr w:type="spellStart"/>
      <w:r w:rsidRPr="00174FB3">
        <w:rPr>
          <w:rFonts w:ascii="Times New Roman" w:eastAsia="Times New Roman" w:hAnsi="Times New Roman" w:cs="Times New Roman"/>
          <w:bCs/>
          <w:sz w:val="24"/>
          <w:szCs w:val="24"/>
        </w:rPr>
        <w:t>būvspeciālistu</w:t>
      </w:r>
      <w:proofErr w:type="spellEnd"/>
      <w:r w:rsidRPr="00174FB3">
        <w:rPr>
          <w:rFonts w:ascii="Times New Roman" w:eastAsia="Times New Roman" w:hAnsi="Times New Roman" w:cs="Times New Roman"/>
          <w:bCs/>
          <w:sz w:val="24"/>
          <w:szCs w:val="24"/>
        </w:rPr>
        <w:t xml:space="preserve"> reģistrā;</w:t>
      </w:r>
    </w:p>
    <w:p w14:paraId="5A1202C9"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norādi, ka aktuālā informācija par </w:t>
      </w:r>
      <w:proofErr w:type="spellStart"/>
      <w:r w:rsidRPr="00174FB3">
        <w:rPr>
          <w:rFonts w:ascii="Times New Roman" w:eastAsia="Times New Roman" w:hAnsi="Times New Roman" w:cs="Times New Roman"/>
          <w:bCs/>
          <w:sz w:val="24"/>
          <w:szCs w:val="24"/>
        </w:rPr>
        <w:t>būvspeciālista</w:t>
      </w:r>
      <w:proofErr w:type="spellEnd"/>
      <w:r w:rsidRPr="00174FB3">
        <w:rPr>
          <w:rFonts w:ascii="Times New Roman" w:eastAsia="Times New Roman" w:hAnsi="Times New Roman" w:cs="Times New Roman"/>
          <w:bCs/>
          <w:sz w:val="24"/>
          <w:szCs w:val="24"/>
        </w:rPr>
        <w:t xml:space="preserve"> sertifikātu un darbības sfēru elektroniski pieejama BIS tīmekļvietnē (</w:t>
      </w:r>
      <w:hyperlink r:id="rId11" w:history="1">
        <w:r w:rsidR="00226C9C" w:rsidRPr="00B30F95">
          <w:rPr>
            <w:rStyle w:val="Hyperlink"/>
            <w:rFonts w:ascii="Times New Roman" w:eastAsia="Times New Roman" w:hAnsi="Times New Roman" w:cs="Times New Roman"/>
            <w:bCs/>
            <w:sz w:val="24"/>
            <w:szCs w:val="24"/>
          </w:rPr>
          <w:t>www.bis.gov.lv</w:t>
        </w:r>
      </w:hyperlink>
      <w:r w:rsidRPr="00174FB3">
        <w:rPr>
          <w:rFonts w:ascii="Times New Roman" w:eastAsia="Times New Roman" w:hAnsi="Times New Roman" w:cs="Times New Roman"/>
          <w:bCs/>
          <w:sz w:val="24"/>
          <w:szCs w:val="24"/>
        </w:rPr>
        <w:t xml:space="preserve">). </w:t>
      </w:r>
    </w:p>
    <w:p w14:paraId="0001C00D"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Pēc sertifikāta piešķiršanas </w:t>
      </w:r>
      <w:proofErr w:type="spellStart"/>
      <w:r w:rsidRPr="00B979C8">
        <w:rPr>
          <w:rFonts w:ascii="Times New Roman" w:eastAsia="Times New Roman" w:hAnsi="Times New Roman" w:cs="Times New Roman"/>
          <w:bCs/>
          <w:sz w:val="24"/>
          <w:szCs w:val="24"/>
        </w:rPr>
        <w:t>būvspeciālistam</w:t>
      </w:r>
      <w:proofErr w:type="spellEnd"/>
      <w:r w:rsidRPr="00B979C8">
        <w:rPr>
          <w:rFonts w:ascii="Times New Roman" w:eastAsia="Times New Roman" w:hAnsi="Times New Roman" w:cs="Times New Roman"/>
          <w:bCs/>
          <w:sz w:val="24"/>
          <w:szCs w:val="24"/>
        </w:rPr>
        <w:t xml:space="preserve"> ir pienākums:</w:t>
      </w:r>
    </w:p>
    <w:p w14:paraId="5E315CD5"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veikt patstāvīgo praksi saskaņā ar BSN apstiprināto profesionālās ētikas kodeksu;</w:t>
      </w:r>
    </w:p>
    <w:p w14:paraId="26C3345E" w14:textId="2F302E93" w:rsidR="00772B9B" w:rsidRPr="009725A2" w:rsidRDefault="00525878" w:rsidP="00174FB3">
      <w:pPr>
        <w:pStyle w:val="ListParagraph"/>
        <w:numPr>
          <w:ilvl w:val="2"/>
          <w:numId w:val="1"/>
        </w:numPr>
        <w:jc w:val="both"/>
        <w:rPr>
          <w:rFonts w:ascii="Times New Roman" w:eastAsia="Times New Roman" w:hAnsi="Times New Roman" w:cs="Times New Roman"/>
          <w:bCs/>
          <w:sz w:val="24"/>
          <w:szCs w:val="24"/>
        </w:rPr>
      </w:pPr>
      <w:r w:rsidRPr="009725A2">
        <w:rPr>
          <w:rFonts w:ascii="Times New Roman" w:eastAsia="Times New Roman" w:hAnsi="Times New Roman" w:cs="Times New Roman"/>
          <w:bCs/>
          <w:sz w:val="24"/>
          <w:szCs w:val="24"/>
        </w:rPr>
        <w:t xml:space="preserve">pastāvīgi uzturēt </w:t>
      </w:r>
      <w:proofErr w:type="spellStart"/>
      <w:r w:rsidR="003C0F47" w:rsidRPr="009725A2">
        <w:rPr>
          <w:rFonts w:ascii="Times New Roman" w:eastAsia="Times New Roman" w:hAnsi="Times New Roman" w:cs="Times New Roman"/>
          <w:bCs/>
          <w:sz w:val="24"/>
          <w:szCs w:val="24"/>
        </w:rPr>
        <w:t>b</w:t>
      </w:r>
      <w:r w:rsidRPr="009725A2">
        <w:rPr>
          <w:rFonts w:ascii="Times New Roman" w:eastAsia="Times New Roman" w:hAnsi="Times New Roman" w:cs="Times New Roman"/>
          <w:bCs/>
          <w:sz w:val="24"/>
          <w:szCs w:val="24"/>
        </w:rPr>
        <w:t>ūvspeciālistu</w:t>
      </w:r>
      <w:proofErr w:type="spellEnd"/>
      <w:r w:rsidRPr="009725A2">
        <w:rPr>
          <w:rFonts w:ascii="Times New Roman" w:eastAsia="Times New Roman" w:hAnsi="Times New Roman" w:cs="Times New Roman"/>
          <w:bCs/>
          <w:sz w:val="24"/>
          <w:szCs w:val="24"/>
        </w:rPr>
        <w:t xml:space="preserve"> reģistrā aktuālu informāciju par apgūtajām profesionālās pilnveides programmām, semināriem un citiem kompetenci paaugstinošiem pasākumiem, norādot attiecīgā apliecinošā dokumenta izdošanas datumu, derīguma termiņu, izdevēju, profesionālās pilnveides mācību programmas vai pasākuma nosaukumu un apjomu, kā arī pievieno</w:t>
      </w:r>
      <w:r w:rsidR="001615D7" w:rsidRPr="009725A2">
        <w:rPr>
          <w:rFonts w:ascii="Times New Roman" w:eastAsia="Times New Roman" w:hAnsi="Times New Roman" w:cs="Times New Roman"/>
          <w:bCs/>
          <w:sz w:val="24"/>
          <w:szCs w:val="24"/>
        </w:rPr>
        <w:t>t</w:t>
      </w:r>
      <w:r w:rsidRPr="009725A2">
        <w:rPr>
          <w:rFonts w:ascii="Times New Roman" w:eastAsia="Times New Roman" w:hAnsi="Times New Roman" w:cs="Times New Roman"/>
          <w:bCs/>
          <w:sz w:val="24"/>
          <w:szCs w:val="24"/>
        </w:rPr>
        <w:t xml:space="preserve"> šo dokumentu elektroniski, ja minētā informācija nav pieejama </w:t>
      </w:r>
      <w:proofErr w:type="spellStart"/>
      <w:r w:rsidR="003C0F47" w:rsidRPr="009725A2">
        <w:rPr>
          <w:rFonts w:ascii="Times New Roman" w:eastAsia="Times New Roman" w:hAnsi="Times New Roman" w:cs="Times New Roman"/>
          <w:bCs/>
          <w:sz w:val="24"/>
          <w:szCs w:val="24"/>
        </w:rPr>
        <w:t>b</w:t>
      </w:r>
      <w:r w:rsidRPr="009725A2">
        <w:rPr>
          <w:rFonts w:ascii="Times New Roman" w:eastAsia="Times New Roman" w:hAnsi="Times New Roman" w:cs="Times New Roman"/>
          <w:bCs/>
          <w:sz w:val="24"/>
          <w:szCs w:val="24"/>
        </w:rPr>
        <w:t>ūvspeciā</w:t>
      </w:r>
      <w:r w:rsidR="003C0F47" w:rsidRPr="009725A2">
        <w:rPr>
          <w:rFonts w:ascii="Times New Roman" w:eastAsia="Times New Roman" w:hAnsi="Times New Roman" w:cs="Times New Roman"/>
          <w:bCs/>
          <w:sz w:val="24"/>
          <w:szCs w:val="24"/>
        </w:rPr>
        <w:t>listu</w:t>
      </w:r>
      <w:proofErr w:type="spellEnd"/>
      <w:r w:rsidR="003C0F47" w:rsidRPr="009725A2">
        <w:rPr>
          <w:rFonts w:ascii="Times New Roman" w:eastAsia="Times New Roman" w:hAnsi="Times New Roman" w:cs="Times New Roman"/>
          <w:bCs/>
          <w:sz w:val="24"/>
          <w:szCs w:val="24"/>
        </w:rPr>
        <w:t xml:space="preserve"> reģistrā</w:t>
      </w:r>
      <w:r w:rsidR="001615D7" w:rsidRPr="009725A2">
        <w:rPr>
          <w:rFonts w:ascii="Times New Roman" w:eastAsia="Times New Roman" w:hAnsi="Times New Roman" w:cs="Times New Roman"/>
          <w:bCs/>
          <w:sz w:val="24"/>
          <w:szCs w:val="24"/>
        </w:rPr>
        <w:t>;</w:t>
      </w:r>
      <w:r w:rsidR="005E5CF5" w:rsidRPr="009725A2">
        <w:rPr>
          <w:rFonts w:ascii="Times New Roman" w:eastAsia="Times New Roman" w:hAnsi="Times New Roman" w:cs="Times New Roman"/>
          <w:bCs/>
          <w:sz w:val="24"/>
          <w:szCs w:val="24"/>
        </w:rPr>
        <w:t xml:space="preserve"> </w:t>
      </w:r>
    </w:p>
    <w:p w14:paraId="29BCCB73"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sniegt BSN tās pieprasīto informāciju, kas nepieciešama </w:t>
      </w:r>
      <w:proofErr w:type="spellStart"/>
      <w:r w:rsidRPr="00174FB3">
        <w:rPr>
          <w:rFonts w:ascii="Times New Roman" w:eastAsia="Times New Roman" w:hAnsi="Times New Roman" w:cs="Times New Roman"/>
          <w:bCs/>
          <w:sz w:val="24"/>
          <w:szCs w:val="24"/>
        </w:rPr>
        <w:t>būvspeciālista</w:t>
      </w:r>
      <w:proofErr w:type="spellEnd"/>
      <w:r w:rsidRPr="00174FB3">
        <w:rPr>
          <w:rFonts w:ascii="Times New Roman" w:eastAsia="Times New Roman" w:hAnsi="Times New Roman" w:cs="Times New Roman"/>
          <w:bCs/>
          <w:sz w:val="24"/>
          <w:szCs w:val="24"/>
        </w:rPr>
        <w:t xml:space="preserve"> patstāvīgās prakses izvērtēšanai, ja saņemta sūdzība vai BSN rīcībā ir nonākusi cita informācija par </w:t>
      </w:r>
      <w:proofErr w:type="spellStart"/>
      <w:r w:rsidRPr="00174FB3">
        <w:rPr>
          <w:rFonts w:ascii="Times New Roman" w:eastAsia="Times New Roman" w:hAnsi="Times New Roman" w:cs="Times New Roman"/>
          <w:bCs/>
          <w:sz w:val="24"/>
          <w:szCs w:val="24"/>
        </w:rPr>
        <w:t>būvspeciālista</w:t>
      </w:r>
      <w:proofErr w:type="spellEnd"/>
      <w:r w:rsidRPr="00174FB3">
        <w:rPr>
          <w:rFonts w:ascii="Times New Roman" w:eastAsia="Times New Roman" w:hAnsi="Times New Roman" w:cs="Times New Roman"/>
          <w:bCs/>
          <w:sz w:val="24"/>
          <w:szCs w:val="24"/>
        </w:rPr>
        <w:t xml:space="preserve"> patstāvīgās prakses pārkāpumiem;</w:t>
      </w:r>
    </w:p>
    <w:p w14:paraId="03009FFD"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proofErr w:type="spellStart"/>
      <w:r w:rsidRPr="00174FB3">
        <w:rPr>
          <w:rFonts w:ascii="Times New Roman" w:eastAsia="Times New Roman" w:hAnsi="Times New Roman" w:cs="Times New Roman"/>
          <w:bCs/>
          <w:sz w:val="24"/>
          <w:szCs w:val="24"/>
        </w:rPr>
        <w:t>būvspeciālistu</w:t>
      </w:r>
      <w:proofErr w:type="spellEnd"/>
      <w:r w:rsidRPr="00174FB3">
        <w:rPr>
          <w:rFonts w:ascii="Times New Roman" w:eastAsia="Times New Roman" w:hAnsi="Times New Roman" w:cs="Times New Roman"/>
          <w:bCs/>
          <w:sz w:val="24"/>
          <w:szCs w:val="24"/>
        </w:rPr>
        <w:t xml:space="preserve"> reģistrā uzturēt aktuālu savu kontaktinformāciju;</w:t>
      </w:r>
    </w:p>
    <w:p w14:paraId="4A06506D" w14:textId="15DFE637" w:rsidR="00772B9B" w:rsidRPr="009C0A6E" w:rsidRDefault="003C0F47" w:rsidP="00174FB3">
      <w:pPr>
        <w:pStyle w:val="ListParagraph"/>
        <w:numPr>
          <w:ilvl w:val="2"/>
          <w:numId w:val="1"/>
        </w:numPr>
        <w:jc w:val="both"/>
        <w:rPr>
          <w:rFonts w:ascii="Times New Roman" w:eastAsia="Times New Roman" w:hAnsi="Times New Roman" w:cs="Times New Roman"/>
          <w:bCs/>
          <w:sz w:val="24"/>
          <w:szCs w:val="24"/>
        </w:rPr>
      </w:pPr>
      <w:proofErr w:type="spellStart"/>
      <w:r w:rsidRPr="009C0A6E">
        <w:rPr>
          <w:rFonts w:ascii="Times New Roman" w:eastAsia="Times New Roman" w:hAnsi="Times New Roman" w:cs="Times New Roman"/>
          <w:bCs/>
          <w:sz w:val="24"/>
          <w:szCs w:val="24"/>
        </w:rPr>
        <w:lastRenderedPageBreak/>
        <w:t>būvspeciālistu</w:t>
      </w:r>
      <w:proofErr w:type="spellEnd"/>
      <w:r w:rsidRPr="009C0A6E">
        <w:rPr>
          <w:rFonts w:ascii="Times New Roman" w:eastAsia="Times New Roman" w:hAnsi="Times New Roman" w:cs="Times New Roman"/>
          <w:bCs/>
          <w:sz w:val="24"/>
          <w:szCs w:val="24"/>
        </w:rPr>
        <w:t xml:space="preserve"> reģistrā ievadīt informāciju par izglītību, </w:t>
      </w:r>
      <w:r w:rsidR="00525878" w:rsidRPr="009C0A6E">
        <w:rPr>
          <w:rFonts w:ascii="Times New Roman" w:eastAsia="Times New Roman" w:hAnsi="Times New Roman" w:cs="Times New Roman"/>
          <w:bCs/>
          <w:sz w:val="24"/>
          <w:szCs w:val="24"/>
        </w:rPr>
        <w:t xml:space="preserve">kas apliecina profesionālo kvalifikāciju, </w:t>
      </w:r>
      <w:r w:rsidRPr="009C0A6E">
        <w:rPr>
          <w:rFonts w:ascii="Times New Roman" w:eastAsia="Times New Roman" w:hAnsi="Times New Roman" w:cs="Times New Roman"/>
          <w:bCs/>
          <w:sz w:val="24"/>
          <w:szCs w:val="24"/>
        </w:rPr>
        <w:t>elektroniski pievienojot izglītību apliecinošu dokumentu</w:t>
      </w:r>
      <w:r w:rsidR="00525878" w:rsidRPr="009C0A6E">
        <w:rPr>
          <w:rFonts w:ascii="Times New Roman" w:eastAsia="Times New Roman" w:hAnsi="Times New Roman" w:cs="Times New Roman"/>
          <w:bCs/>
          <w:sz w:val="24"/>
          <w:szCs w:val="24"/>
        </w:rPr>
        <w:t xml:space="preserve">, ja minētā informācija nav pieejama </w:t>
      </w:r>
      <w:proofErr w:type="spellStart"/>
      <w:r w:rsidR="00525878" w:rsidRPr="009C0A6E">
        <w:rPr>
          <w:rFonts w:ascii="Times New Roman" w:eastAsia="Times New Roman" w:hAnsi="Times New Roman" w:cs="Times New Roman"/>
          <w:bCs/>
          <w:sz w:val="24"/>
          <w:szCs w:val="24"/>
        </w:rPr>
        <w:t>būvspeciālistu</w:t>
      </w:r>
      <w:proofErr w:type="spellEnd"/>
      <w:r w:rsidR="00525878" w:rsidRPr="009C0A6E">
        <w:rPr>
          <w:rFonts w:ascii="Times New Roman" w:eastAsia="Times New Roman" w:hAnsi="Times New Roman" w:cs="Times New Roman"/>
          <w:bCs/>
          <w:sz w:val="24"/>
          <w:szCs w:val="24"/>
        </w:rPr>
        <w:t xml:space="preserve"> reģistrā</w:t>
      </w:r>
      <w:r w:rsidRPr="009C0A6E">
        <w:rPr>
          <w:rFonts w:ascii="Times New Roman" w:eastAsia="Times New Roman" w:hAnsi="Times New Roman" w:cs="Times New Roman"/>
          <w:bCs/>
          <w:sz w:val="24"/>
          <w:szCs w:val="24"/>
        </w:rPr>
        <w:t>;</w:t>
      </w:r>
    </w:p>
    <w:p w14:paraId="0548DC18" w14:textId="5FC5CE5B" w:rsidR="001615D7" w:rsidRPr="009C0A6E" w:rsidRDefault="003C0F47"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hAnsi="Times New Roman" w:cs="Times New Roman"/>
          <w:sz w:val="24"/>
          <w:szCs w:val="24"/>
          <w:shd w:val="clear" w:color="auto" w:fill="FFFFFF"/>
        </w:rPr>
        <w:t xml:space="preserve">pastāvīgi uzturēt </w:t>
      </w:r>
      <w:proofErr w:type="spellStart"/>
      <w:r w:rsidRPr="009C0A6E">
        <w:rPr>
          <w:rFonts w:ascii="Times New Roman" w:hAnsi="Times New Roman" w:cs="Times New Roman"/>
          <w:sz w:val="24"/>
          <w:szCs w:val="24"/>
          <w:shd w:val="clear" w:color="auto" w:fill="FFFFFF"/>
        </w:rPr>
        <w:t>būvspeciālistu</w:t>
      </w:r>
      <w:proofErr w:type="spellEnd"/>
      <w:r w:rsidRPr="009C0A6E">
        <w:rPr>
          <w:rFonts w:ascii="Times New Roman" w:hAnsi="Times New Roman" w:cs="Times New Roman"/>
          <w:sz w:val="24"/>
          <w:szCs w:val="24"/>
          <w:shd w:val="clear" w:color="auto" w:fill="FFFFFF"/>
        </w:rPr>
        <w:t xml:space="preserve"> reģistrā aktuālu informāciju par veikto patstāvīgo praksi, norādot darba devēju, pasūtītāju, būvniecības lietas numuru (Latvijas Republikā veiktajiem darbiem), būves nosaukumu, ēkas galveno lietošanas veidu vai inženierbūves lietošanas veidu (saskaņā ar būvju klasifikāciju), būvniecības veidu, objekta adresi (ārpus Latvijas Republikas veiktajiem darbiem), būves grupu, darbu izpildes laiku, darbības sfēru, līdzdalības pakāpi, kā arī elektroniski pievienot šos darbus apliecinošus dokumentus, ja minētā informācija nav pieejama </w:t>
      </w:r>
      <w:proofErr w:type="spellStart"/>
      <w:r w:rsidRPr="009C0A6E">
        <w:rPr>
          <w:rFonts w:ascii="Times New Roman" w:hAnsi="Times New Roman" w:cs="Times New Roman"/>
          <w:sz w:val="24"/>
          <w:szCs w:val="24"/>
          <w:shd w:val="clear" w:color="auto" w:fill="FFFFFF"/>
        </w:rPr>
        <w:t>būvspeciālistu</w:t>
      </w:r>
      <w:proofErr w:type="spellEnd"/>
      <w:r w:rsidRPr="009C0A6E">
        <w:rPr>
          <w:rFonts w:ascii="Times New Roman" w:hAnsi="Times New Roman" w:cs="Times New Roman"/>
          <w:sz w:val="24"/>
          <w:szCs w:val="24"/>
          <w:shd w:val="clear" w:color="auto" w:fill="FFFFFF"/>
        </w:rPr>
        <w:t xml:space="preserve"> reģistrā</w:t>
      </w:r>
      <w:r w:rsidR="001615D7" w:rsidRPr="009C0A6E">
        <w:rPr>
          <w:rFonts w:ascii="Times New Roman" w:hAnsi="Times New Roman" w:cs="Times New Roman"/>
          <w:sz w:val="24"/>
          <w:szCs w:val="24"/>
          <w:shd w:val="clear" w:color="auto" w:fill="FFFFFF"/>
        </w:rPr>
        <w:t>;</w:t>
      </w:r>
      <w:r w:rsidRPr="009C0A6E">
        <w:rPr>
          <w:rFonts w:ascii="Times New Roman" w:hAnsi="Times New Roman" w:cs="Times New Roman"/>
          <w:sz w:val="24"/>
          <w:szCs w:val="24"/>
          <w:shd w:val="clear" w:color="auto" w:fill="FFFFFF"/>
        </w:rPr>
        <w:t xml:space="preserve"> </w:t>
      </w:r>
    </w:p>
    <w:p w14:paraId="2C47421A" w14:textId="4A43FBF4" w:rsidR="003C0F47" w:rsidRPr="009C0A6E" w:rsidRDefault="001615D7"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hAnsi="Times New Roman" w:cs="Times New Roman"/>
          <w:sz w:val="24"/>
          <w:szCs w:val="24"/>
          <w:shd w:val="clear" w:color="auto" w:fill="FFFFFF"/>
        </w:rPr>
        <w:t>a</w:t>
      </w:r>
      <w:r w:rsidR="003C0F47" w:rsidRPr="009C0A6E">
        <w:rPr>
          <w:rFonts w:ascii="Times New Roman" w:hAnsi="Times New Roman" w:cs="Times New Roman"/>
          <w:sz w:val="24"/>
          <w:szCs w:val="24"/>
          <w:shd w:val="clear" w:color="auto" w:fill="FFFFFF"/>
        </w:rPr>
        <w:t xml:space="preserve">ttiecībā uz akadēmisko darbu augstākās izglītības iestādē </w:t>
      </w:r>
      <w:proofErr w:type="spellStart"/>
      <w:r w:rsidR="00D4766C" w:rsidRPr="009C0A6E">
        <w:rPr>
          <w:rFonts w:ascii="Times New Roman" w:hAnsi="Times New Roman" w:cs="Times New Roman"/>
          <w:sz w:val="24"/>
          <w:szCs w:val="24"/>
          <w:shd w:val="clear" w:color="auto" w:fill="FFFFFF"/>
        </w:rPr>
        <w:t>būvspeciālistu</w:t>
      </w:r>
      <w:proofErr w:type="spellEnd"/>
      <w:r w:rsidR="00D4766C" w:rsidRPr="009C0A6E">
        <w:rPr>
          <w:rFonts w:ascii="Times New Roman" w:hAnsi="Times New Roman" w:cs="Times New Roman"/>
          <w:sz w:val="24"/>
          <w:szCs w:val="24"/>
          <w:shd w:val="clear" w:color="auto" w:fill="FFFFFF"/>
        </w:rPr>
        <w:t xml:space="preserve"> reģistrā </w:t>
      </w:r>
      <w:r w:rsidR="003C0F47" w:rsidRPr="009C0A6E">
        <w:rPr>
          <w:rFonts w:ascii="Times New Roman" w:hAnsi="Times New Roman" w:cs="Times New Roman"/>
          <w:sz w:val="24"/>
          <w:szCs w:val="24"/>
          <w:shd w:val="clear" w:color="auto" w:fill="FFFFFF"/>
        </w:rPr>
        <w:t>ievad</w:t>
      </w:r>
      <w:r w:rsidRPr="009C0A6E">
        <w:rPr>
          <w:rFonts w:ascii="Times New Roman" w:hAnsi="Times New Roman" w:cs="Times New Roman"/>
          <w:sz w:val="24"/>
          <w:szCs w:val="24"/>
          <w:shd w:val="clear" w:color="auto" w:fill="FFFFFF"/>
        </w:rPr>
        <w:t>īt</w:t>
      </w:r>
      <w:r w:rsidR="003C0F47" w:rsidRPr="009C0A6E">
        <w:rPr>
          <w:rFonts w:ascii="Times New Roman" w:hAnsi="Times New Roman" w:cs="Times New Roman"/>
          <w:sz w:val="24"/>
          <w:szCs w:val="24"/>
          <w:shd w:val="clear" w:color="auto" w:fill="FFFFFF"/>
        </w:rPr>
        <w:t xml:space="preserve"> informāciju par akadēmiskā darba saturu un ilgumu un pievieno</w:t>
      </w:r>
      <w:r w:rsidRPr="009C0A6E">
        <w:rPr>
          <w:rFonts w:ascii="Times New Roman" w:hAnsi="Times New Roman" w:cs="Times New Roman"/>
          <w:sz w:val="24"/>
          <w:szCs w:val="24"/>
          <w:shd w:val="clear" w:color="auto" w:fill="FFFFFF"/>
        </w:rPr>
        <w:t>t</w:t>
      </w:r>
      <w:r w:rsidR="003C0F47" w:rsidRPr="009C0A6E">
        <w:rPr>
          <w:rFonts w:ascii="Times New Roman" w:hAnsi="Times New Roman" w:cs="Times New Roman"/>
          <w:sz w:val="24"/>
          <w:szCs w:val="24"/>
          <w:shd w:val="clear" w:color="auto" w:fill="FFFFFF"/>
        </w:rPr>
        <w:t xml:space="preserve"> augstākās izglītības iestādes izziņu par veikto zinātniski </w:t>
      </w:r>
      <w:r w:rsidR="006742BE" w:rsidRPr="009C0A6E">
        <w:rPr>
          <w:rFonts w:ascii="Times New Roman" w:hAnsi="Times New Roman" w:cs="Times New Roman"/>
          <w:sz w:val="24"/>
          <w:szCs w:val="24"/>
          <w:shd w:val="clear" w:color="auto" w:fill="FFFFFF"/>
        </w:rPr>
        <w:t>pētniecisko un</w:t>
      </w:r>
      <w:r w:rsidR="00BB7E72" w:rsidRPr="009C0A6E">
        <w:rPr>
          <w:rFonts w:ascii="Times New Roman" w:hAnsi="Times New Roman" w:cs="Times New Roman"/>
          <w:sz w:val="24"/>
          <w:szCs w:val="24"/>
          <w:shd w:val="clear" w:color="auto" w:fill="FFFFFF"/>
        </w:rPr>
        <w:t>/ vai</w:t>
      </w:r>
      <w:r w:rsidR="006742BE" w:rsidRPr="009C0A6E">
        <w:rPr>
          <w:rFonts w:ascii="Times New Roman" w:hAnsi="Times New Roman" w:cs="Times New Roman"/>
          <w:sz w:val="24"/>
          <w:szCs w:val="24"/>
          <w:shd w:val="clear" w:color="auto" w:fill="FFFFFF"/>
        </w:rPr>
        <w:t xml:space="preserve"> </w:t>
      </w:r>
      <w:r w:rsidR="003C0F47" w:rsidRPr="009C0A6E">
        <w:rPr>
          <w:rFonts w:ascii="Times New Roman" w:hAnsi="Times New Roman" w:cs="Times New Roman"/>
          <w:sz w:val="24"/>
          <w:szCs w:val="24"/>
          <w:shd w:val="clear" w:color="auto" w:fill="FFFFFF"/>
        </w:rPr>
        <w:t>pedagoģisko darbu;</w:t>
      </w:r>
    </w:p>
    <w:p w14:paraId="6F48432F" w14:textId="2D259BE1" w:rsidR="00772B9B" w:rsidRPr="009C0A6E" w:rsidRDefault="003C0F47"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līdz kārtējā gada 1.</w:t>
      </w:r>
      <w:r w:rsidR="00BB7E72" w:rsidRPr="009C0A6E">
        <w:rPr>
          <w:rFonts w:ascii="Times New Roman" w:eastAsia="Times New Roman" w:hAnsi="Times New Roman" w:cs="Times New Roman"/>
          <w:bCs/>
          <w:sz w:val="24"/>
          <w:szCs w:val="24"/>
        </w:rPr>
        <w:t xml:space="preserve"> </w:t>
      </w:r>
      <w:r w:rsidRPr="009C0A6E">
        <w:rPr>
          <w:rFonts w:ascii="Times New Roman" w:eastAsia="Times New Roman" w:hAnsi="Times New Roman" w:cs="Times New Roman"/>
          <w:bCs/>
          <w:sz w:val="24"/>
          <w:szCs w:val="24"/>
        </w:rPr>
        <w:t xml:space="preserve">februārim samaksāt patstāvīgās prakses uzraudzības </w:t>
      </w:r>
      <w:r w:rsidR="00D4766C" w:rsidRPr="009C0A6E">
        <w:rPr>
          <w:rFonts w:ascii="Times New Roman" w:eastAsia="Times New Roman" w:hAnsi="Times New Roman" w:cs="Times New Roman"/>
          <w:bCs/>
          <w:sz w:val="24"/>
          <w:szCs w:val="24"/>
        </w:rPr>
        <w:t xml:space="preserve">gada </w:t>
      </w:r>
      <w:r w:rsidRPr="009C0A6E">
        <w:rPr>
          <w:rFonts w:ascii="Times New Roman" w:eastAsia="Times New Roman" w:hAnsi="Times New Roman" w:cs="Times New Roman"/>
          <w:bCs/>
          <w:sz w:val="24"/>
          <w:szCs w:val="24"/>
        </w:rPr>
        <w:t>maksu;</w:t>
      </w:r>
    </w:p>
    <w:p w14:paraId="2D2A3277" w14:textId="7191F207" w:rsidR="003C0F47" w:rsidRPr="009C0A6E" w:rsidRDefault="003C0F47"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BSN noteiktajā termiņā </w:t>
      </w:r>
      <w:r w:rsidR="001615D7" w:rsidRPr="009C0A6E">
        <w:rPr>
          <w:rFonts w:ascii="Times New Roman" w:eastAsia="Times New Roman" w:hAnsi="Times New Roman" w:cs="Times New Roman"/>
          <w:bCs/>
          <w:sz w:val="24"/>
          <w:szCs w:val="24"/>
        </w:rPr>
        <w:t xml:space="preserve">nokārtot </w:t>
      </w:r>
      <w:r w:rsidRPr="009C0A6E">
        <w:rPr>
          <w:rFonts w:ascii="Times New Roman" w:eastAsia="Times New Roman" w:hAnsi="Times New Roman" w:cs="Times New Roman"/>
          <w:bCs/>
          <w:sz w:val="24"/>
          <w:szCs w:val="24"/>
        </w:rPr>
        <w:t xml:space="preserve">atkārtotu </w:t>
      </w:r>
      <w:r w:rsidRPr="009C0A6E">
        <w:rPr>
          <w:rFonts w:ascii="Times New Roman" w:hAnsi="Times New Roman" w:cs="Times New Roman"/>
          <w:sz w:val="24"/>
          <w:szCs w:val="24"/>
          <w:shd w:val="clear" w:color="auto" w:fill="FFFFFF"/>
        </w:rPr>
        <w:t>pārbaudi kompetenču, prasmju un zināšanu līmeņa novērtēšanai.</w:t>
      </w:r>
    </w:p>
    <w:p w14:paraId="60D17F3B" w14:textId="77777777" w:rsidR="00772B9B" w:rsidRPr="000D2F63" w:rsidRDefault="00772B9B" w:rsidP="00772B9B">
      <w:pPr>
        <w:pStyle w:val="ListParagraph"/>
        <w:shd w:val="clear" w:color="auto" w:fill="FFFFFF"/>
        <w:ind w:left="1843" w:hanging="850"/>
        <w:jc w:val="both"/>
        <w:rPr>
          <w:rFonts w:ascii="Times New Roman" w:eastAsia="MS Mincho" w:hAnsi="Times New Roman" w:cs="Times New Roman"/>
          <w:sz w:val="24"/>
          <w:szCs w:val="24"/>
          <w:lang w:eastAsia="ja-JP"/>
        </w:rPr>
      </w:pPr>
    </w:p>
    <w:p w14:paraId="600AD1B9" w14:textId="77777777" w:rsidR="00772B9B" w:rsidRPr="00EB2638" w:rsidRDefault="005E5CF5" w:rsidP="00EB2638">
      <w:pPr>
        <w:pStyle w:val="ListParagraph"/>
        <w:numPr>
          <w:ilvl w:val="0"/>
          <w:numId w:val="1"/>
        </w:numPr>
        <w:jc w:val="both"/>
        <w:rPr>
          <w:rFonts w:ascii="Times New Roman" w:hAnsi="Times New Roman" w:cs="Times New Roman"/>
          <w:b/>
          <w:sz w:val="24"/>
          <w:szCs w:val="24"/>
        </w:rPr>
      </w:pPr>
      <w:proofErr w:type="spellStart"/>
      <w:r w:rsidRPr="00EB2638">
        <w:rPr>
          <w:rFonts w:ascii="Times New Roman" w:hAnsi="Times New Roman" w:cs="Times New Roman"/>
          <w:b/>
          <w:sz w:val="24"/>
          <w:szCs w:val="24"/>
        </w:rPr>
        <w:t>Būvspeciālistu</w:t>
      </w:r>
      <w:proofErr w:type="spellEnd"/>
      <w:r w:rsidRPr="00EB2638">
        <w:rPr>
          <w:rFonts w:ascii="Times New Roman" w:hAnsi="Times New Roman" w:cs="Times New Roman"/>
          <w:b/>
          <w:sz w:val="24"/>
          <w:szCs w:val="24"/>
        </w:rPr>
        <w:t xml:space="preserve"> reģistrā ievietojamā informācija</w:t>
      </w:r>
    </w:p>
    <w:p w14:paraId="1A1C9780"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74638E">
        <w:rPr>
          <w:rFonts w:ascii="Times New Roman" w:eastAsia="Times New Roman" w:hAnsi="Times New Roman" w:cs="Times New Roman"/>
          <w:bCs/>
          <w:sz w:val="24"/>
          <w:szCs w:val="24"/>
        </w:rPr>
        <w:t>BSN</w:t>
      </w:r>
      <w:r w:rsidRPr="00B979C8">
        <w:rPr>
          <w:rFonts w:ascii="Times New Roman" w:eastAsia="Times New Roman" w:hAnsi="Times New Roman" w:cs="Times New Roman"/>
          <w:bCs/>
          <w:sz w:val="24"/>
          <w:szCs w:val="24"/>
        </w:rPr>
        <w:t xml:space="preserve"> visus izsniegtos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sertifikātus reģistrē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reģistrā, kura dati tiek saglabāti un uzturēti BIS.</w:t>
      </w:r>
    </w:p>
    <w:p w14:paraId="55ECD58D"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Reģistrā iekļaujama šāda informācija:</w:t>
      </w:r>
    </w:p>
    <w:p w14:paraId="79C96A12" w14:textId="7B0AB7A5" w:rsidR="00772B9B" w:rsidRPr="009C0A6E" w:rsidRDefault="004C0870"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sertificēšanas shēmas 5.1.3. apakšpunktā minētā informācija;</w:t>
      </w:r>
    </w:p>
    <w:p w14:paraId="3EF72B4D" w14:textId="4F219BEA"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proofErr w:type="spellStart"/>
      <w:r w:rsidRPr="009C0A6E">
        <w:rPr>
          <w:rFonts w:ascii="Times New Roman" w:eastAsia="Times New Roman" w:hAnsi="Times New Roman" w:cs="Times New Roman"/>
          <w:bCs/>
          <w:sz w:val="24"/>
          <w:szCs w:val="24"/>
        </w:rPr>
        <w:t>būvspeciālista</w:t>
      </w:r>
      <w:proofErr w:type="spellEnd"/>
      <w:r w:rsidRPr="009C0A6E">
        <w:rPr>
          <w:rFonts w:ascii="Times New Roman" w:eastAsia="Times New Roman" w:hAnsi="Times New Roman" w:cs="Times New Roman"/>
          <w:bCs/>
          <w:sz w:val="24"/>
          <w:szCs w:val="24"/>
        </w:rPr>
        <w:t xml:space="preserve"> kontaktinformācija;</w:t>
      </w:r>
    </w:p>
    <w:p w14:paraId="2B44FF11" w14:textId="68590B7D" w:rsidR="00772B9B" w:rsidRPr="009C0A6E" w:rsidRDefault="004C0870"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informatīva norāde, ja ārvalstīs iegūtā profesionālā kvalifikācija atzīta normatīvajos aktos par profesionālās kvalifikācijas atzīšanu noteiktajā kārtībā;</w:t>
      </w:r>
    </w:p>
    <w:p w14:paraId="6E67618E" w14:textId="730437F4" w:rsidR="004C0870" w:rsidRPr="009C0A6E" w:rsidRDefault="004C0870"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informatīva norāde, ja persona ir īslaicīgo pakalpojumu sniedzējs;</w:t>
      </w:r>
    </w:p>
    <w:p w14:paraId="10F9FDB4" w14:textId="7E7CD049"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informatīva norāde par </w:t>
      </w:r>
      <w:proofErr w:type="spellStart"/>
      <w:r w:rsidRPr="009C0A6E">
        <w:rPr>
          <w:rFonts w:ascii="Times New Roman" w:eastAsia="Times New Roman" w:hAnsi="Times New Roman" w:cs="Times New Roman"/>
          <w:bCs/>
          <w:sz w:val="24"/>
          <w:szCs w:val="24"/>
        </w:rPr>
        <w:t>būvspeciālista</w:t>
      </w:r>
      <w:proofErr w:type="spellEnd"/>
      <w:r w:rsidRPr="009C0A6E">
        <w:rPr>
          <w:rFonts w:ascii="Times New Roman" w:eastAsia="Times New Roman" w:hAnsi="Times New Roman" w:cs="Times New Roman"/>
          <w:bCs/>
          <w:sz w:val="24"/>
          <w:szCs w:val="24"/>
        </w:rPr>
        <w:t xml:space="preserve"> praktisko pieredzi darbības sfērā;</w:t>
      </w:r>
    </w:p>
    <w:p w14:paraId="05411F87" w14:textId="713E9A5A"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īslaicīgo pakalpojumu sniedzēja reģistrācijas termiņš;</w:t>
      </w:r>
    </w:p>
    <w:p w14:paraId="09B459EC" w14:textId="7A1610D3" w:rsidR="004C0870" w:rsidRPr="009C0A6E" w:rsidRDefault="004C0870"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sertificēšanas shēmas 7.7.6</w:t>
      </w:r>
      <w:r w:rsidR="006742BE" w:rsidRPr="009C0A6E">
        <w:rPr>
          <w:rFonts w:ascii="Times New Roman" w:eastAsia="Times New Roman" w:hAnsi="Times New Roman" w:cs="Times New Roman"/>
          <w:bCs/>
          <w:sz w:val="24"/>
          <w:szCs w:val="24"/>
        </w:rPr>
        <w:t>. un 7.7.7.</w:t>
      </w:r>
      <w:r w:rsidRPr="009C0A6E">
        <w:rPr>
          <w:rFonts w:ascii="Times New Roman" w:eastAsia="Times New Roman" w:hAnsi="Times New Roman" w:cs="Times New Roman"/>
          <w:bCs/>
          <w:sz w:val="24"/>
          <w:szCs w:val="24"/>
        </w:rPr>
        <w:t xml:space="preserve"> apakšpunktā minētā informācija;</w:t>
      </w:r>
    </w:p>
    <w:p w14:paraId="2E633A10" w14:textId="77777777"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proofErr w:type="spellStart"/>
      <w:r w:rsidRPr="009C0A6E">
        <w:rPr>
          <w:rFonts w:ascii="Times New Roman" w:eastAsia="Times New Roman" w:hAnsi="Times New Roman" w:cs="Times New Roman"/>
          <w:bCs/>
          <w:sz w:val="24"/>
          <w:szCs w:val="24"/>
        </w:rPr>
        <w:t>būvspeciālista</w:t>
      </w:r>
      <w:proofErr w:type="spellEnd"/>
      <w:r w:rsidRPr="009C0A6E">
        <w:rPr>
          <w:rFonts w:ascii="Times New Roman" w:eastAsia="Times New Roman" w:hAnsi="Times New Roman" w:cs="Times New Roman"/>
          <w:bCs/>
          <w:sz w:val="24"/>
          <w:szCs w:val="24"/>
        </w:rPr>
        <w:t xml:space="preserve"> sertifikāta piešķiršanas datums un numurs;</w:t>
      </w:r>
    </w:p>
    <w:p w14:paraId="2FB73E3F" w14:textId="77777777"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sertificēšanas joma un specialitāte;</w:t>
      </w:r>
    </w:p>
    <w:p w14:paraId="23DBC6D6" w14:textId="77777777"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darbības sfēras reģistrācijas numurs, nosaukums un pievienošanas datums;</w:t>
      </w:r>
    </w:p>
    <w:p w14:paraId="4167D250" w14:textId="28FBE6B2"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informācija par BSN pieņemtajiem lēmumiem un ar tiem saistītajiem dokumentiem attiecībā uz </w:t>
      </w:r>
      <w:proofErr w:type="spellStart"/>
      <w:r w:rsidRPr="009C0A6E">
        <w:rPr>
          <w:rFonts w:ascii="Times New Roman" w:eastAsia="Times New Roman" w:hAnsi="Times New Roman" w:cs="Times New Roman"/>
          <w:bCs/>
          <w:sz w:val="24"/>
          <w:szCs w:val="24"/>
        </w:rPr>
        <w:t>būvspeciālistu</w:t>
      </w:r>
      <w:proofErr w:type="spellEnd"/>
      <w:r w:rsidRPr="009C0A6E">
        <w:rPr>
          <w:rFonts w:ascii="Times New Roman" w:eastAsia="Times New Roman" w:hAnsi="Times New Roman" w:cs="Times New Roman"/>
          <w:bCs/>
          <w:sz w:val="24"/>
          <w:szCs w:val="24"/>
        </w:rPr>
        <w:t>;</w:t>
      </w:r>
    </w:p>
    <w:p w14:paraId="46FC2758" w14:textId="67790E41"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brīdinājuma izteikšanas, </w:t>
      </w:r>
      <w:proofErr w:type="spellStart"/>
      <w:r w:rsidRPr="009C0A6E">
        <w:rPr>
          <w:rFonts w:ascii="Times New Roman" w:eastAsia="Times New Roman" w:hAnsi="Times New Roman" w:cs="Times New Roman"/>
          <w:bCs/>
          <w:sz w:val="24"/>
          <w:szCs w:val="24"/>
        </w:rPr>
        <w:t>būvspeciālista</w:t>
      </w:r>
      <w:proofErr w:type="spellEnd"/>
      <w:r w:rsidRPr="009C0A6E">
        <w:rPr>
          <w:rFonts w:ascii="Times New Roman" w:eastAsia="Times New Roman" w:hAnsi="Times New Roman" w:cs="Times New Roman"/>
          <w:bCs/>
          <w:sz w:val="24"/>
          <w:szCs w:val="24"/>
        </w:rPr>
        <w:t xml:space="preserve"> sertifikāta vai darbības sfēras apturēšanas vai anulēšanas pamatojums;</w:t>
      </w:r>
    </w:p>
    <w:p w14:paraId="423FAC93" w14:textId="550529BC" w:rsidR="006C65CF" w:rsidRPr="009C0A6E" w:rsidRDefault="006C65CF"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datums, līdz kuram apturēta </w:t>
      </w:r>
      <w:proofErr w:type="spellStart"/>
      <w:r w:rsidRPr="009C0A6E">
        <w:rPr>
          <w:rFonts w:ascii="Times New Roman" w:eastAsia="Times New Roman" w:hAnsi="Times New Roman" w:cs="Times New Roman"/>
          <w:bCs/>
          <w:sz w:val="24"/>
          <w:szCs w:val="24"/>
        </w:rPr>
        <w:t>būvspeciālista</w:t>
      </w:r>
      <w:proofErr w:type="spellEnd"/>
      <w:r w:rsidRPr="009C0A6E">
        <w:rPr>
          <w:rFonts w:ascii="Times New Roman" w:eastAsia="Times New Roman" w:hAnsi="Times New Roman" w:cs="Times New Roman"/>
          <w:bCs/>
          <w:sz w:val="24"/>
          <w:szCs w:val="24"/>
        </w:rPr>
        <w:t xml:space="preserve"> sertifikāta vai tā sfēras darbība (ja piemērojams);</w:t>
      </w:r>
    </w:p>
    <w:p w14:paraId="421EFADF" w14:textId="74D05C9A" w:rsidR="006C65CF" w:rsidRPr="009C0A6E" w:rsidRDefault="006C65CF"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datums, ar kuru atjaunota </w:t>
      </w:r>
      <w:proofErr w:type="spellStart"/>
      <w:r w:rsidRPr="009C0A6E">
        <w:rPr>
          <w:rFonts w:ascii="Times New Roman" w:eastAsia="Times New Roman" w:hAnsi="Times New Roman" w:cs="Times New Roman"/>
          <w:bCs/>
          <w:sz w:val="24"/>
          <w:szCs w:val="24"/>
        </w:rPr>
        <w:t>būvspeciālista</w:t>
      </w:r>
      <w:proofErr w:type="spellEnd"/>
      <w:r w:rsidRPr="009C0A6E">
        <w:rPr>
          <w:rFonts w:ascii="Times New Roman" w:eastAsia="Times New Roman" w:hAnsi="Times New Roman" w:cs="Times New Roman"/>
          <w:bCs/>
          <w:sz w:val="24"/>
          <w:szCs w:val="24"/>
        </w:rPr>
        <w:t xml:space="preserve"> sertifikāta vai darbības sfēra</w:t>
      </w:r>
      <w:r w:rsidR="00D4766C" w:rsidRPr="009C0A6E">
        <w:rPr>
          <w:rFonts w:ascii="Times New Roman" w:eastAsia="Times New Roman" w:hAnsi="Times New Roman" w:cs="Times New Roman"/>
          <w:bCs/>
          <w:sz w:val="24"/>
          <w:szCs w:val="24"/>
        </w:rPr>
        <w:t>s darbība</w:t>
      </w:r>
      <w:r w:rsidRPr="009C0A6E">
        <w:rPr>
          <w:rFonts w:ascii="Times New Roman" w:eastAsia="Times New Roman" w:hAnsi="Times New Roman" w:cs="Times New Roman"/>
          <w:bCs/>
          <w:sz w:val="24"/>
          <w:szCs w:val="24"/>
        </w:rPr>
        <w:t xml:space="preserve"> (ja piemērojams);</w:t>
      </w:r>
    </w:p>
    <w:p w14:paraId="527E4478"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BSN nozīmētas atkārtotas kompetences pārbaudes veikšanas datums;</w:t>
      </w:r>
    </w:p>
    <w:p w14:paraId="1398E4D3" w14:textId="7D2F0F92" w:rsidR="006C65CF"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norāde par tiesībām veikt ekspertīzes trešās grupas būvju būvprojektiem</w:t>
      </w:r>
      <w:r w:rsidR="006C65CF">
        <w:rPr>
          <w:rFonts w:ascii="Times New Roman" w:eastAsia="Times New Roman" w:hAnsi="Times New Roman" w:cs="Times New Roman"/>
          <w:bCs/>
          <w:sz w:val="24"/>
          <w:szCs w:val="24"/>
        </w:rPr>
        <w:t>;</w:t>
      </w:r>
    </w:p>
    <w:p w14:paraId="51157FD7" w14:textId="0A1CF2BD" w:rsidR="00772B9B" w:rsidRPr="009C0A6E" w:rsidRDefault="006C65CF" w:rsidP="00174FB3">
      <w:pPr>
        <w:pStyle w:val="ListParagraph"/>
        <w:numPr>
          <w:ilvl w:val="2"/>
          <w:numId w:val="1"/>
        </w:numPr>
        <w:jc w:val="both"/>
        <w:rPr>
          <w:rFonts w:ascii="Times New Roman" w:eastAsia="Times New Roman" w:hAnsi="Times New Roman" w:cs="Times New Roman"/>
          <w:bCs/>
          <w:sz w:val="24"/>
          <w:szCs w:val="24"/>
        </w:rPr>
      </w:pPr>
      <w:proofErr w:type="spellStart"/>
      <w:r w:rsidRPr="009C0A6E">
        <w:rPr>
          <w:rFonts w:ascii="Times New Roman" w:eastAsia="Times New Roman" w:hAnsi="Times New Roman" w:cs="Times New Roman"/>
          <w:bCs/>
          <w:sz w:val="24"/>
          <w:szCs w:val="24"/>
        </w:rPr>
        <w:t>būvspeciālista</w:t>
      </w:r>
      <w:proofErr w:type="spellEnd"/>
      <w:r w:rsidRPr="009C0A6E">
        <w:rPr>
          <w:rFonts w:ascii="Times New Roman" w:eastAsia="Times New Roman" w:hAnsi="Times New Roman" w:cs="Times New Roman"/>
          <w:bCs/>
          <w:sz w:val="24"/>
          <w:szCs w:val="24"/>
        </w:rPr>
        <w:t xml:space="preserve"> profesionālās pilnveides informācija;</w:t>
      </w:r>
    </w:p>
    <w:p w14:paraId="26B5E465" w14:textId="1BDE9E46" w:rsidR="006C65CF" w:rsidRPr="009C0A6E" w:rsidRDefault="006C65CF"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informācija par </w:t>
      </w:r>
      <w:proofErr w:type="spellStart"/>
      <w:r w:rsidRPr="009C0A6E">
        <w:rPr>
          <w:rFonts w:ascii="Times New Roman" w:eastAsia="Times New Roman" w:hAnsi="Times New Roman" w:cs="Times New Roman"/>
          <w:bCs/>
          <w:sz w:val="24"/>
          <w:szCs w:val="24"/>
        </w:rPr>
        <w:t>būvspeciālista</w:t>
      </w:r>
      <w:proofErr w:type="spellEnd"/>
      <w:r w:rsidRPr="009C0A6E">
        <w:rPr>
          <w:rFonts w:ascii="Times New Roman" w:eastAsia="Times New Roman" w:hAnsi="Times New Roman" w:cs="Times New Roman"/>
          <w:bCs/>
          <w:sz w:val="24"/>
          <w:szCs w:val="24"/>
        </w:rPr>
        <w:t xml:space="preserve"> izglītību;</w:t>
      </w:r>
    </w:p>
    <w:p w14:paraId="466A9901" w14:textId="3AF745C0" w:rsidR="006C65CF" w:rsidRDefault="006C65CF"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informācija par darba līgumu ar būvniecības kontroles institūcijām, ja </w:t>
      </w:r>
      <w:proofErr w:type="spellStart"/>
      <w:r w:rsidRPr="009C0A6E">
        <w:rPr>
          <w:rFonts w:ascii="Times New Roman" w:eastAsia="Times New Roman" w:hAnsi="Times New Roman" w:cs="Times New Roman"/>
          <w:bCs/>
          <w:sz w:val="24"/>
          <w:szCs w:val="24"/>
        </w:rPr>
        <w:t>būvspeciālists</w:t>
      </w:r>
      <w:proofErr w:type="spellEnd"/>
      <w:r w:rsidRPr="009C0A6E">
        <w:rPr>
          <w:rFonts w:ascii="Times New Roman" w:eastAsia="Times New Roman" w:hAnsi="Times New Roman" w:cs="Times New Roman"/>
          <w:bCs/>
          <w:sz w:val="24"/>
          <w:szCs w:val="24"/>
        </w:rPr>
        <w:t xml:space="preserve"> pilda būvinspektora, būvinspektora palīga vai arhitekta pienākumus</w:t>
      </w:r>
      <w:r w:rsidR="00D4766C" w:rsidRPr="009C0A6E">
        <w:rPr>
          <w:rFonts w:ascii="Times New Roman" w:eastAsia="Times New Roman" w:hAnsi="Times New Roman" w:cs="Times New Roman"/>
          <w:bCs/>
          <w:sz w:val="24"/>
          <w:szCs w:val="24"/>
        </w:rPr>
        <w:t>.</w:t>
      </w:r>
    </w:p>
    <w:p w14:paraId="64EE6270" w14:textId="77777777" w:rsidR="009C0A6E" w:rsidRPr="009C0A6E" w:rsidRDefault="009C0A6E" w:rsidP="009C0A6E">
      <w:pPr>
        <w:pStyle w:val="ListParagraph"/>
        <w:jc w:val="both"/>
        <w:rPr>
          <w:rFonts w:ascii="Times New Roman" w:eastAsia="Times New Roman" w:hAnsi="Times New Roman" w:cs="Times New Roman"/>
          <w:bCs/>
          <w:sz w:val="24"/>
          <w:szCs w:val="24"/>
        </w:rPr>
      </w:pPr>
    </w:p>
    <w:p w14:paraId="40D6498D" w14:textId="77777777" w:rsidR="00E165C8" w:rsidRDefault="00E165C8" w:rsidP="00E165C8">
      <w:pPr>
        <w:spacing w:after="0" w:line="240" w:lineRule="auto"/>
        <w:jc w:val="both"/>
        <w:rPr>
          <w:rFonts w:ascii="Times New Roman" w:hAnsi="Times New Roman" w:cs="Times New Roman"/>
          <w:sz w:val="24"/>
          <w:szCs w:val="24"/>
        </w:rPr>
      </w:pPr>
    </w:p>
    <w:p w14:paraId="77D07605" w14:textId="77777777" w:rsidR="00772B9B" w:rsidRPr="0074638E" w:rsidRDefault="005E5CF5" w:rsidP="00EB2638">
      <w:pPr>
        <w:pStyle w:val="ListParagraph"/>
        <w:numPr>
          <w:ilvl w:val="0"/>
          <w:numId w:val="1"/>
        </w:numPr>
        <w:jc w:val="both"/>
        <w:rPr>
          <w:rFonts w:ascii="Times New Roman" w:hAnsi="Times New Roman" w:cs="Times New Roman"/>
          <w:b/>
          <w:sz w:val="24"/>
          <w:szCs w:val="24"/>
        </w:rPr>
      </w:pPr>
      <w:bookmarkStart w:id="9" w:name="p31"/>
      <w:bookmarkStart w:id="10" w:name="p-530647"/>
      <w:bookmarkEnd w:id="9"/>
      <w:bookmarkEnd w:id="10"/>
      <w:proofErr w:type="spellStart"/>
      <w:r w:rsidRPr="0074638E">
        <w:rPr>
          <w:rFonts w:ascii="Times New Roman" w:hAnsi="Times New Roman" w:cs="Times New Roman"/>
          <w:b/>
          <w:sz w:val="24"/>
          <w:szCs w:val="24"/>
        </w:rPr>
        <w:lastRenderedPageBreak/>
        <w:t>Būvspeciālistu</w:t>
      </w:r>
      <w:proofErr w:type="spellEnd"/>
      <w:r w:rsidRPr="0074638E">
        <w:rPr>
          <w:rFonts w:ascii="Times New Roman" w:hAnsi="Times New Roman" w:cs="Times New Roman"/>
          <w:b/>
          <w:sz w:val="24"/>
          <w:szCs w:val="24"/>
        </w:rPr>
        <w:t xml:space="preserve"> patstāvīgās prakses pārbaudes apjoms</w:t>
      </w:r>
    </w:p>
    <w:p w14:paraId="134C88D1"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BSN patstāvīgās prakses uzraudzības ietvaros veic sertificēto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plānoto un ārpuskārtas uzraudzību atbilstoši sākotnēji definētiem uzraudzības kritērijiem.</w:t>
      </w:r>
    </w:p>
    <w:p w14:paraId="7A297C16"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Plānoto uzraudzību BSN veic vienu reizi piecos gados saskaņā ar “Sertificēto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uzraudzības plānu”, katru gadu izlases veidā pārbaudot 20% no kopējā sertificēto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skaita, tādējādi nodrošinot, ka piecu gadu laikā tiek pārbaudīts ikviens </w:t>
      </w:r>
      <w:proofErr w:type="spellStart"/>
      <w:r w:rsidRPr="00B979C8">
        <w:rPr>
          <w:rFonts w:ascii="Times New Roman" w:eastAsia="Times New Roman" w:hAnsi="Times New Roman" w:cs="Times New Roman"/>
          <w:bCs/>
          <w:sz w:val="24"/>
          <w:szCs w:val="24"/>
        </w:rPr>
        <w:t>būvspeciālists</w:t>
      </w:r>
      <w:proofErr w:type="spellEnd"/>
      <w:r w:rsidRPr="00B979C8">
        <w:rPr>
          <w:rFonts w:ascii="Times New Roman" w:eastAsia="Times New Roman" w:hAnsi="Times New Roman" w:cs="Times New Roman"/>
          <w:bCs/>
          <w:sz w:val="24"/>
          <w:szCs w:val="24"/>
        </w:rPr>
        <w:t xml:space="preserve">. </w:t>
      </w:r>
    </w:p>
    <w:p w14:paraId="248A40BE"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BIS tiek pārbaudīta </w:t>
      </w:r>
      <w:proofErr w:type="spellStart"/>
      <w:r w:rsidRPr="00174FB3">
        <w:rPr>
          <w:rFonts w:ascii="Times New Roman" w:eastAsia="Times New Roman" w:hAnsi="Times New Roman" w:cs="Times New Roman"/>
          <w:bCs/>
          <w:sz w:val="24"/>
          <w:szCs w:val="24"/>
        </w:rPr>
        <w:t>būvspeciālista</w:t>
      </w:r>
      <w:proofErr w:type="spellEnd"/>
      <w:r w:rsidRPr="00174FB3">
        <w:rPr>
          <w:rFonts w:ascii="Times New Roman" w:eastAsia="Times New Roman" w:hAnsi="Times New Roman" w:cs="Times New Roman"/>
          <w:bCs/>
          <w:sz w:val="24"/>
          <w:szCs w:val="24"/>
        </w:rPr>
        <w:t xml:space="preserve"> patstāvīgā prakse.</w:t>
      </w:r>
    </w:p>
    <w:p w14:paraId="66E29076"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BIS tiek pārbaudīta </w:t>
      </w:r>
      <w:proofErr w:type="spellStart"/>
      <w:r w:rsidRPr="00174FB3">
        <w:rPr>
          <w:rFonts w:ascii="Times New Roman" w:eastAsia="Times New Roman" w:hAnsi="Times New Roman" w:cs="Times New Roman"/>
          <w:bCs/>
          <w:sz w:val="24"/>
          <w:szCs w:val="24"/>
        </w:rPr>
        <w:t>būvspeciālista</w:t>
      </w:r>
      <w:proofErr w:type="spellEnd"/>
      <w:r w:rsidRPr="00174FB3">
        <w:rPr>
          <w:rFonts w:ascii="Times New Roman" w:eastAsia="Times New Roman" w:hAnsi="Times New Roman" w:cs="Times New Roman"/>
          <w:bCs/>
          <w:sz w:val="24"/>
          <w:szCs w:val="24"/>
        </w:rPr>
        <w:t xml:space="preserve"> iesniegtā informācija par izglītību un apgūtajām profesionālās pilnveides programmām vai citiem kompetenci paaugstinošiem pasākumiem sertifikātā norādītajā sfērā.</w:t>
      </w:r>
    </w:p>
    <w:p w14:paraId="1CCCFE19" w14:textId="7A19787D" w:rsidR="00772B9B" w:rsidRPr="009C0A6E" w:rsidRDefault="006C65CF"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BSN uzturētajos reģistros tiek pārbaudīta informācija par konstatētiem maznozīmīgiem pārkāpumiem.</w:t>
      </w:r>
    </w:p>
    <w:p w14:paraId="7F3CC8E3"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Plānveidīgi, uz risku analīzi balstoties, katru gadu tiek veikta padziļināta pārbaude vismaz 1% no kopējā </w:t>
      </w:r>
      <w:proofErr w:type="spellStart"/>
      <w:r w:rsidRPr="00174FB3">
        <w:rPr>
          <w:rFonts w:ascii="Times New Roman" w:eastAsia="Times New Roman" w:hAnsi="Times New Roman" w:cs="Times New Roman"/>
          <w:bCs/>
          <w:sz w:val="24"/>
          <w:szCs w:val="24"/>
        </w:rPr>
        <w:t>būvspeciālistu</w:t>
      </w:r>
      <w:proofErr w:type="spellEnd"/>
      <w:r w:rsidRPr="00174FB3">
        <w:rPr>
          <w:rFonts w:ascii="Times New Roman" w:eastAsia="Times New Roman" w:hAnsi="Times New Roman" w:cs="Times New Roman"/>
          <w:bCs/>
          <w:sz w:val="24"/>
          <w:szCs w:val="24"/>
        </w:rPr>
        <w:t xml:space="preserve"> skaita būvekspertīzes darbības sfērā atbilstoši šādiem definētajiem riskiem:</w:t>
      </w:r>
    </w:p>
    <w:p w14:paraId="59F3BB6D" w14:textId="74A4CE62" w:rsidR="00772B9B" w:rsidRPr="0074638E" w:rsidRDefault="00133A12" w:rsidP="00431C0E">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E5CF5" w:rsidRPr="0074638E">
        <w:rPr>
          <w:rFonts w:ascii="Times New Roman" w:hAnsi="Times New Roman" w:cs="Times New Roman"/>
          <w:sz w:val="24"/>
          <w:szCs w:val="24"/>
        </w:rPr>
        <w:t>būvspeciālist</w:t>
      </w:r>
      <w:r w:rsidR="005E5CF5">
        <w:rPr>
          <w:rFonts w:ascii="Times New Roman" w:hAnsi="Times New Roman" w:cs="Times New Roman"/>
          <w:sz w:val="24"/>
          <w:szCs w:val="24"/>
        </w:rPr>
        <w:t>i</w:t>
      </w:r>
      <w:proofErr w:type="spellEnd"/>
      <w:r w:rsidR="005E5CF5" w:rsidRPr="0074638E">
        <w:rPr>
          <w:rFonts w:ascii="Times New Roman" w:hAnsi="Times New Roman" w:cs="Times New Roman"/>
          <w:sz w:val="24"/>
          <w:szCs w:val="24"/>
        </w:rPr>
        <w:t>, par kuriem BSN noteiktā periodā saņemta informācija vai sūdzības par iespējamiem profesionālās darbības pārkāpumiem;</w:t>
      </w:r>
    </w:p>
    <w:p w14:paraId="766A3450" w14:textId="718E752B" w:rsidR="00772B9B" w:rsidRPr="0074638E" w:rsidRDefault="00133A12" w:rsidP="00431C0E">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E5CF5" w:rsidRPr="0074638E">
        <w:rPr>
          <w:rFonts w:ascii="Times New Roman" w:hAnsi="Times New Roman" w:cs="Times New Roman"/>
          <w:sz w:val="24"/>
          <w:szCs w:val="24"/>
        </w:rPr>
        <w:t>būvspeciālist</w:t>
      </w:r>
      <w:r w:rsidR="005E5CF5">
        <w:rPr>
          <w:rFonts w:ascii="Times New Roman" w:hAnsi="Times New Roman" w:cs="Times New Roman"/>
          <w:sz w:val="24"/>
          <w:szCs w:val="24"/>
        </w:rPr>
        <w:t>i</w:t>
      </w:r>
      <w:proofErr w:type="spellEnd"/>
      <w:r w:rsidR="005E5CF5" w:rsidRPr="0074638E">
        <w:rPr>
          <w:rFonts w:ascii="Times New Roman" w:hAnsi="Times New Roman" w:cs="Times New Roman"/>
          <w:sz w:val="24"/>
          <w:szCs w:val="24"/>
        </w:rPr>
        <w:t>, kuri BIS nav uzrādījuši patstāvīgās prakses vai profesionālās pilnveides informāciju noteiktajā apjomā;</w:t>
      </w:r>
    </w:p>
    <w:p w14:paraId="6365DA98" w14:textId="0131DE4C" w:rsidR="00772B9B" w:rsidRPr="0074638E" w:rsidRDefault="00133A12" w:rsidP="00431C0E">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E5CF5" w:rsidRPr="0074638E">
        <w:rPr>
          <w:rFonts w:ascii="Times New Roman" w:hAnsi="Times New Roman" w:cs="Times New Roman"/>
          <w:sz w:val="24"/>
          <w:szCs w:val="24"/>
        </w:rPr>
        <w:t>būvspeciālist</w:t>
      </w:r>
      <w:r w:rsidR="005E5CF5">
        <w:rPr>
          <w:rFonts w:ascii="Times New Roman" w:hAnsi="Times New Roman" w:cs="Times New Roman"/>
          <w:sz w:val="24"/>
          <w:szCs w:val="24"/>
        </w:rPr>
        <w:t>i</w:t>
      </w:r>
      <w:proofErr w:type="spellEnd"/>
      <w:r w:rsidR="005E5CF5" w:rsidRPr="0074638E">
        <w:rPr>
          <w:rFonts w:ascii="Times New Roman" w:hAnsi="Times New Roman" w:cs="Times New Roman"/>
          <w:sz w:val="24"/>
          <w:szCs w:val="24"/>
        </w:rPr>
        <w:t>, kuri 2 gadus nav praktizējuši būvekspertīzes specialitātē;</w:t>
      </w:r>
    </w:p>
    <w:p w14:paraId="557FEB09" w14:textId="3EDCF216" w:rsidR="00772B9B" w:rsidRPr="0074638E" w:rsidRDefault="00EA407D" w:rsidP="00431C0E">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E5CF5" w:rsidRPr="0074638E">
        <w:rPr>
          <w:rFonts w:ascii="Times New Roman" w:hAnsi="Times New Roman" w:cs="Times New Roman"/>
          <w:sz w:val="24"/>
          <w:szCs w:val="24"/>
        </w:rPr>
        <w:t>būvspeciālis</w:t>
      </w:r>
      <w:r w:rsidR="005E5CF5">
        <w:rPr>
          <w:rFonts w:ascii="Times New Roman" w:hAnsi="Times New Roman" w:cs="Times New Roman"/>
          <w:sz w:val="24"/>
          <w:szCs w:val="24"/>
        </w:rPr>
        <w:t>ti</w:t>
      </w:r>
      <w:proofErr w:type="spellEnd"/>
      <w:r w:rsidR="005E5CF5" w:rsidRPr="0074638E">
        <w:rPr>
          <w:rFonts w:ascii="Times New Roman" w:hAnsi="Times New Roman" w:cs="Times New Roman"/>
          <w:sz w:val="24"/>
          <w:szCs w:val="24"/>
        </w:rPr>
        <w:t>, kuriem atjaunots būvekspertīzes sertifikāts pēc sekmīgi nokārtotas BSN noteiktās pārbaudes kompetenču, prasmju un zināšanu līmeņa novērtēšanai;</w:t>
      </w:r>
    </w:p>
    <w:p w14:paraId="27688EBD" w14:textId="3D401CB8" w:rsidR="00772B9B" w:rsidRPr="0074638E" w:rsidRDefault="00EA407D" w:rsidP="00431C0E">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E5CF5" w:rsidRPr="0074638E">
        <w:rPr>
          <w:rFonts w:ascii="Times New Roman" w:hAnsi="Times New Roman" w:cs="Times New Roman"/>
          <w:sz w:val="24"/>
          <w:szCs w:val="24"/>
        </w:rPr>
        <w:t>būvspeciālist</w:t>
      </w:r>
      <w:r w:rsidR="005E5CF5">
        <w:rPr>
          <w:rFonts w:ascii="Times New Roman" w:hAnsi="Times New Roman" w:cs="Times New Roman"/>
          <w:sz w:val="24"/>
          <w:szCs w:val="24"/>
        </w:rPr>
        <w:t>i</w:t>
      </w:r>
      <w:proofErr w:type="spellEnd"/>
      <w:r w:rsidR="005E5CF5" w:rsidRPr="0074638E">
        <w:rPr>
          <w:rFonts w:ascii="Times New Roman" w:hAnsi="Times New Roman" w:cs="Times New Roman"/>
          <w:sz w:val="24"/>
          <w:szCs w:val="24"/>
        </w:rPr>
        <w:t>, kuriem atjaunots būvekspertīzes sertifikāts, pamatojoties uz arhitekta prakses sertifikāta vai būvprakses sertifikāta atjaunošanu attiecīgajā darbības sfērā projektēšanas, būvdarbu vadīšanas vai būvuzraudzības specialitātē;</w:t>
      </w:r>
    </w:p>
    <w:p w14:paraId="7138B3A9" w14:textId="5F9A99CE" w:rsidR="00772B9B" w:rsidRPr="0074638E" w:rsidRDefault="00EA407D" w:rsidP="00431C0E">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E5CF5" w:rsidRPr="0074638E">
        <w:rPr>
          <w:rFonts w:ascii="Times New Roman" w:hAnsi="Times New Roman" w:cs="Times New Roman"/>
          <w:sz w:val="24"/>
          <w:szCs w:val="24"/>
        </w:rPr>
        <w:t>būvspeciālist</w:t>
      </w:r>
      <w:r w:rsidR="005E5CF5">
        <w:rPr>
          <w:rFonts w:ascii="Times New Roman" w:hAnsi="Times New Roman" w:cs="Times New Roman"/>
          <w:sz w:val="24"/>
          <w:szCs w:val="24"/>
        </w:rPr>
        <w:t>i</w:t>
      </w:r>
      <w:proofErr w:type="spellEnd"/>
      <w:r w:rsidR="005E5CF5" w:rsidRPr="0074638E">
        <w:rPr>
          <w:rFonts w:ascii="Times New Roman" w:hAnsi="Times New Roman" w:cs="Times New Roman"/>
          <w:sz w:val="24"/>
          <w:szCs w:val="24"/>
        </w:rPr>
        <w:t>, kuriem, veicot ekspertīzes padziļināto pārbaudi, atklātas būtiskas neatbilstības, kā rezultātā pieņemts lēmums par brīdinājuma izteikšanu;</w:t>
      </w:r>
    </w:p>
    <w:p w14:paraId="275153C8" w14:textId="490B614E" w:rsidR="00772B9B" w:rsidRPr="0074638E" w:rsidRDefault="00EA407D" w:rsidP="00431C0E">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E5CF5" w:rsidRPr="0074638E">
        <w:rPr>
          <w:rFonts w:ascii="Times New Roman" w:hAnsi="Times New Roman" w:cs="Times New Roman"/>
          <w:sz w:val="24"/>
          <w:szCs w:val="24"/>
        </w:rPr>
        <w:t>būvspeciālist</w:t>
      </w:r>
      <w:r w:rsidR="005E5CF5">
        <w:rPr>
          <w:rFonts w:ascii="Times New Roman" w:hAnsi="Times New Roman" w:cs="Times New Roman"/>
          <w:sz w:val="24"/>
          <w:szCs w:val="24"/>
        </w:rPr>
        <w:t>i</w:t>
      </w:r>
      <w:proofErr w:type="spellEnd"/>
      <w:r w:rsidR="005E5CF5" w:rsidRPr="0074638E">
        <w:rPr>
          <w:rFonts w:ascii="Times New Roman" w:hAnsi="Times New Roman" w:cs="Times New Roman"/>
          <w:sz w:val="24"/>
          <w:szCs w:val="24"/>
        </w:rPr>
        <w:t>, kuriem, veicot ekspertīzes padziļināto pārbaudi, atklātas neatbilstības, kas nav saistītas ar būtiskiem normatīvo aktu prasību pārkāpumiem, taču nepieciešams pārliecināties, ka līdzīgas nepilnības netiks pieļautas atkārtoti.</w:t>
      </w:r>
    </w:p>
    <w:p w14:paraId="7607DD05" w14:textId="77777777" w:rsidR="00772B9B" w:rsidRPr="00174FB3" w:rsidRDefault="005E5CF5" w:rsidP="00174FB3">
      <w:pPr>
        <w:pStyle w:val="ListParagraph"/>
        <w:numPr>
          <w:ilvl w:val="2"/>
          <w:numId w:val="1"/>
        </w:numPr>
        <w:jc w:val="both"/>
        <w:rPr>
          <w:rFonts w:ascii="Times New Roman" w:hAnsi="Times New Roman" w:cs="Times New Roman"/>
          <w:sz w:val="24"/>
          <w:szCs w:val="24"/>
          <w:lang w:eastAsia="lv-LV"/>
        </w:rPr>
      </w:pPr>
      <w:r w:rsidRPr="00174FB3">
        <w:rPr>
          <w:rFonts w:ascii="Times New Roman" w:eastAsia="Times New Roman" w:hAnsi="Times New Roman" w:cs="Times New Roman"/>
          <w:bCs/>
          <w:sz w:val="24"/>
          <w:szCs w:val="24"/>
        </w:rPr>
        <w:t>Pārbaude</w:t>
      </w:r>
      <w:r w:rsidRPr="0074638E">
        <w:rPr>
          <w:rFonts w:ascii="Times New Roman" w:hAnsi="Times New Roman" w:cs="Times New Roman"/>
          <w:sz w:val="24"/>
          <w:szCs w:val="24"/>
          <w:lang w:eastAsia="lv-LV"/>
        </w:rPr>
        <w:t xml:space="preserve"> tiek veikta pēc nejaušības principa, izvēloties vismaz viena pārskata periodā veikt</w:t>
      </w:r>
      <w:r>
        <w:rPr>
          <w:rFonts w:ascii="Times New Roman" w:hAnsi="Times New Roman" w:cs="Times New Roman"/>
          <w:sz w:val="24"/>
          <w:szCs w:val="24"/>
          <w:lang w:eastAsia="lv-LV"/>
        </w:rPr>
        <w:t>o</w:t>
      </w:r>
      <w:r w:rsidRPr="0074638E">
        <w:rPr>
          <w:rFonts w:ascii="Times New Roman" w:hAnsi="Times New Roman" w:cs="Times New Roman"/>
          <w:sz w:val="24"/>
          <w:szCs w:val="24"/>
          <w:lang w:eastAsia="lv-LV"/>
        </w:rPr>
        <w:t xml:space="preserve"> darbu padziļinātai izvērtēšanai par atbilstību normatīvo aktu prasībām, ietverot būtisko raksturlielumu aprēķinu </w:t>
      </w:r>
      <w:r w:rsidRPr="00174FB3">
        <w:rPr>
          <w:rFonts w:ascii="Times New Roman" w:hAnsi="Times New Roman" w:cs="Times New Roman"/>
          <w:sz w:val="24"/>
          <w:szCs w:val="24"/>
          <w:lang w:eastAsia="lv-LV"/>
        </w:rPr>
        <w:t>pārbaudi.</w:t>
      </w:r>
    </w:p>
    <w:p w14:paraId="26B6FFF4"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Ārpuskārtas uzraudzība tiek piemērota gadījumos, kad saņemta sūdzība vai BSN rīcībā nonākusi cita veida informācija par sertificētā </w:t>
      </w:r>
      <w:proofErr w:type="spellStart"/>
      <w:r w:rsidRPr="00B979C8">
        <w:rPr>
          <w:rFonts w:ascii="Times New Roman" w:eastAsia="Times New Roman" w:hAnsi="Times New Roman" w:cs="Times New Roman"/>
          <w:bCs/>
          <w:sz w:val="24"/>
          <w:szCs w:val="24"/>
        </w:rPr>
        <w:t>būvspeciālista</w:t>
      </w:r>
      <w:proofErr w:type="spellEnd"/>
      <w:r w:rsidRPr="00B979C8">
        <w:rPr>
          <w:rFonts w:ascii="Times New Roman" w:eastAsia="Times New Roman" w:hAnsi="Times New Roman" w:cs="Times New Roman"/>
          <w:bCs/>
          <w:sz w:val="24"/>
          <w:szCs w:val="24"/>
        </w:rPr>
        <w:t xml:space="preserve"> iespējamiem profesionālās darbības pārkāpumiem.</w:t>
      </w:r>
    </w:p>
    <w:p w14:paraId="55860649"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Minētajos gadījumos, ja nepieciešams, BSN izvērtē sertificēto </w:t>
      </w:r>
      <w:proofErr w:type="spellStart"/>
      <w:r w:rsidRPr="00174FB3">
        <w:rPr>
          <w:rFonts w:ascii="Times New Roman" w:eastAsia="Times New Roman" w:hAnsi="Times New Roman" w:cs="Times New Roman"/>
          <w:bCs/>
          <w:sz w:val="24"/>
          <w:szCs w:val="24"/>
        </w:rPr>
        <w:t>būvspeciālistu</w:t>
      </w:r>
      <w:proofErr w:type="spellEnd"/>
      <w:r w:rsidRPr="00174FB3">
        <w:rPr>
          <w:rFonts w:ascii="Times New Roman" w:eastAsia="Times New Roman" w:hAnsi="Times New Roman" w:cs="Times New Roman"/>
          <w:bCs/>
          <w:sz w:val="24"/>
          <w:szCs w:val="24"/>
        </w:rPr>
        <w:t xml:space="preserve"> veikto būvprojektu un būvju ekspertīžu kvalitāti un atbilstību normatīvo aktu prasībām. </w:t>
      </w:r>
    </w:p>
    <w:p w14:paraId="11AC05C6" w14:textId="77777777" w:rsidR="00772B9B" w:rsidRPr="0074638E" w:rsidRDefault="005E5CF5" w:rsidP="00174FB3">
      <w:pPr>
        <w:pStyle w:val="ListParagraph"/>
        <w:numPr>
          <w:ilvl w:val="2"/>
          <w:numId w:val="1"/>
        </w:numPr>
        <w:jc w:val="both"/>
        <w:rPr>
          <w:rFonts w:ascii="Times New Roman" w:hAnsi="Times New Roman" w:cs="Times New Roman"/>
          <w:sz w:val="24"/>
          <w:szCs w:val="24"/>
          <w:lang w:eastAsia="lv-LV"/>
        </w:rPr>
      </w:pPr>
      <w:r w:rsidRPr="00174FB3">
        <w:rPr>
          <w:rFonts w:ascii="Times New Roman" w:eastAsia="Times New Roman" w:hAnsi="Times New Roman" w:cs="Times New Roman"/>
          <w:bCs/>
          <w:sz w:val="24"/>
          <w:szCs w:val="24"/>
        </w:rPr>
        <w:t>Ārpuskārtas</w:t>
      </w:r>
      <w:r w:rsidRPr="0074638E">
        <w:rPr>
          <w:rFonts w:ascii="Times New Roman" w:hAnsi="Times New Roman" w:cs="Times New Roman"/>
          <w:sz w:val="24"/>
          <w:szCs w:val="24"/>
          <w:lang w:eastAsia="lv-LV"/>
        </w:rPr>
        <w:t xml:space="preserve"> uzraudzības ietvaros informācijas pārbaudes kārtība ir analoga plānotās uzraudzības kārtībai.</w:t>
      </w:r>
    </w:p>
    <w:p w14:paraId="0F663BF3"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Patstāvīgās prakses uzraudzības kārtība ir noteikta </w:t>
      </w:r>
      <w:proofErr w:type="spellStart"/>
      <w:r w:rsidRPr="00B979C8">
        <w:rPr>
          <w:rFonts w:ascii="Times New Roman" w:eastAsia="Times New Roman" w:hAnsi="Times New Roman" w:cs="Times New Roman"/>
          <w:bCs/>
          <w:sz w:val="24"/>
          <w:szCs w:val="24"/>
        </w:rPr>
        <w:t>apakšprocesā</w:t>
      </w:r>
      <w:proofErr w:type="spellEnd"/>
      <w:r w:rsidRPr="00B979C8">
        <w:rPr>
          <w:rFonts w:ascii="Times New Roman" w:eastAsia="Times New Roman" w:hAnsi="Times New Roman" w:cs="Times New Roman"/>
          <w:bCs/>
          <w:sz w:val="24"/>
          <w:szCs w:val="24"/>
        </w:rPr>
        <w:t xml:space="preserve"> </w:t>
      </w:r>
      <w:r w:rsidR="008B72F6" w:rsidRPr="00B979C8">
        <w:rPr>
          <w:rFonts w:ascii="Times New Roman" w:eastAsia="Times New Roman" w:hAnsi="Times New Roman" w:cs="Times New Roman"/>
          <w:bCs/>
          <w:sz w:val="24"/>
          <w:szCs w:val="24"/>
        </w:rPr>
        <w:t>“</w:t>
      </w:r>
      <w:r w:rsidRPr="00B979C8">
        <w:rPr>
          <w:rFonts w:ascii="Times New Roman" w:eastAsia="Times New Roman" w:hAnsi="Times New Roman" w:cs="Times New Roman"/>
          <w:bCs/>
          <w:sz w:val="24"/>
          <w:szCs w:val="24"/>
        </w:rPr>
        <w:t>PP.BVS.Nr.</w:t>
      </w:r>
      <w:r w:rsidR="00EE4862">
        <w:rPr>
          <w:rFonts w:ascii="Times New Roman" w:eastAsia="Times New Roman" w:hAnsi="Times New Roman" w:cs="Times New Roman"/>
          <w:bCs/>
          <w:sz w:val="24"/>
          <w:szCs w:val="24"/>
        </w:rPr>
        <w:t>6</w:t>
      </w:r>
      <w:r w:rsidRPr="00B979C8">
        <w:rPr>
          <w:rFonts w:ascii="Times New Roman" w:eastAsia="Times New Roman" w:hAnsi="Times New Roman" w:cs="Times New Roman"/>
          <w:bCs/>
          <w:sz w:val="24"/>
          <w:szCs w:val="24"/>
        </w:rPr>
        <w:t xml:space="preserve"> Patstāvīgās prakses uzraudzība”.</w:t>
      </w:r>
    </w:p>
    <w:p w14:paraId="60168389" w14:textId="77777777" w:rsidR="00772B9B" w:rsidRPr="0074638E" w:rsidRDefault="00772B9B" w:rsidP="00772B9B">
      <w:pPr>
        <w:pStyle w:val="NormalWeb"/>
        <w:spacing w:before="0" w:beforeAutospacing="0" w:after="0" w:afterAutospacing="0"/>
        <w:jc w:val="both"/>
      </w:pPr>
    </w:p>
    <w:p w14:paraId="5AC109B1" w14:textId="77777777" w:rsidR="00772B9B" w:rsidRPr="00EB2638" w:rsidRDefault="005E5CF5" w:rsidP="00EB2638">
      <w:pPr>
        <w:pStyle w:val="ListParagraph"/>
        <w:numPr>
          <w:ilvl w:val="0"/>
          <w:numId w:val="1"/>
        </w:numPr>
        <w:jc w:val="both"/>
        <w:rPr>
          <w:rFonts w:ascii="Times New Roman" w:hAnsi="Times New Roman" w:cs="Times New Roman"/>
          <w:b/>
          <w:sz w:val="24"/>
          <w:szCs w:val="24"/>
        </w:rPr>
      </w:pPr>
      <w:proofErr w:type="spellStart"/>
      <w:r w:rsidRPr="0074638E">
        <w:rPr>
          <w:rFonts w:ascii="Times New Roman" w:hAnsi="Times New Roman" w:cs="Times New Roman"/>
          <w:b/>
          <w:sz w:val="24"/>
          <w:szCs w:val="24"/>
        </w:rPr>
        <w:t>Būvspeciālista</w:t>
      </w:r>
      <w:proofErr w:type="spellEnd"/>
      <w:r w:rsidRPr="0074638E">
        <w:rPr>
          <w:rFonts w:ascii="Times New Roman" w:hAnsi="Times New Roman" w:cs="Times New Roman"/>
          <w:b/>
          <w:sz w:val="24"/>
          <w:szCs w:val="24"/>
        </w:rPr>
        <w:t xml:space="preserve"> sertifikāta darbības apturēšanas, anulēšanas, atjaunošanas un brīdinājuma izteikšanas kārtība</w:t>
      </w:r>
    </w:p>
    <w:p w14:paraId="3A9DACDC"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BSN, veicot </w:t>
      </w:r>
      <w:proofErr w:type="spellStart"/>
      <w:r w:rsidRPr="00B979C8">
        <w:rPr>
          <w:rFonts w:ascii="Times New Roman" w:eastAsia="Times New Roman" w:hAnsi="Times New Roman" w:cs="Times New Roman"/>
          <w:bCs/>
          <w:sz w:val="24"/>
          <w:szCs w:val="24"/>
        </w:rPr>
        <w:t>būvspeciālista</w:t>
      </w:r>
      <w:proofErr w:type="spellEnd"/>
      <w:r w:rsidRPr="00B979C8">
        <w:rPr>
          <w:rFonts w:ascii="Times New Roman" w:eastAsia="Times New Roman" w:hAnsi="Times New Roman" w:cs="Times New Roman"/>
          <w:bCs/>
          <w:sz w:val="24"/>
          <w:szCs w:val="24"/>
        </w:rPr>
        <w:t xml:space="preserve"> patstāvīgās prakses uzraudzību, var pieņemt lēmumu:</w:t>
      </w:r>
    </w:p>
    <w:p w14:paraId="4DFD3A6E"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par </w:t>
      </w:r>
      <w:r w:rsidRPr="00AE42CD">
        <w:rPr>
          <w:rFonts w:ascii="Times New Roman" w:eastAsia="Times New Roman" w:hAnsi="Times New Roman" w:cs="Times New Roman"/>
          <w:b/>
          <w:sz w:val="24"/>
          <w:szCs w:val="24"/>
        </w:rPr>
        <w:t>brīdinājuma izteikšanu</w:t>
      </w:r>
      <w:r w:rsidRPr="00174FB3">
        <w:rPr>
          <w:rFonts w:ascii="Times New Roman" w:eastAsia="Times New Roman" w:hAnsi="Times New Roman" w:cs="Times New Roman"/>
          <w:bCs/>
          <w:sz w:val="24"/>
          <w:szCs w:val="24"/>
        </w:rPr>
        <w:t>:</w:t>
      </w:r>
    </w:p>
    <w:p w14:paraId="06B764E2" w14:textId="1F0F7B47"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lastRenderedPageBreak/>
        <w:t>par pārkāpumu, kas saistīts ar BSN apstiprinātā profesionālās ētikas kodeksa neievērošanu</w:t>
      </w:r>
      <w:r>
        <w:rPr>
          <w:rFonts w:ascii="Times New Roman" w:hAnsi="Times New Roman" w:cs="Times New Roman"/>
          <w:sz w:val="24"/>
          <w:szCs w:val="24"/>
        </w:rPr>
        <w:t>;</w:t>
      </w:r>
    </w:p>
    <w:p w14:paraId="44A5DA30" w14:textId="2FF904B2"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par labai profesionālai praksei, kā arī kompetencēm, prasmēm un zināšanām neatbilstošu rīcību</w:t>
      </w:r>
      <w:r>
        <w:rPr>
          <w:rFonts w:ascii="Times New Roman" w:hAnsi="Times New Roman" w:cs="Times New Roman"/>
          <w:sz w:val="24"/>
          <w:szCs w:val="24"/>
        </w:rPr>
        <w:t>;</w:t>
      </w:r>
    </w:p>
    <w:p w14:paraId="29B04419" w14:textId="3416DCE7"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 xml:space="preserve">par pārkāpumu, kas saistīts ar būvniecību reglamentējošos normatīvajos aktos </w:t>
      </w:r>
      <w:proofErr w:type="spellStart"/>
      <w:r w:rsidRPr="0074638E">
        <w:rPr>
          <w:rFonts w:ascii="Times New Roman" w:hAnsi="Times New Roman" w:cs="Times New Roman"/>
          <w:sz w:val="24"/>
          <w:szCs w:val="24"/>
        </w:rPr>
        <w:t>būvspeciālistam</w:t>
      </w:r>
      <w:proofErr w:type="spellEnd"/>
      <w:r w:rsidRPr="0074638E">
        <w:rPr>
          <w:rFonts w:ascii="Times New Roman" w:hAnsi="Times New Roman" w:cs="Times New Roman"/>
          <w:sz w:val="24"/>
          <w:szCs w:val="24"/>
        </w:rPr>
        <w:t xml:space="preserve"> noteikto pienākumu nepildīšanu, </w:t>
      </w:r>
      <w:r w:rsidR="00067C16">
        <w:rPr>
          <w:rFonts w:ascii="Times New Roman" w:hAnsi="Times New Roman" w:cs="Times New Roman"/>
          <w:sz w:val="24"/>
          <w:szCs w:val="24"/>
        </w:rPr>
        <w:t>ne</w:t>
      </w:r>
      <w:r w:rsidRPr="0074638E">
        <w:rPr>
          <w:rFonts w:ascii="Times New Roman" w:hAnsi="Times New Roman" w:cs="Times New Roman"/>
          <w:sz w:val="24"/>
          <w:szCs w:val="24"/>
        </w:rPr>
        <w:t>pienācīgu pildīšanu vai standartos noteikto prasību neievērošanu, ja tas nav radījis būtisku apdraudējumu cilvēka veselībai, dzīvībai vai videi</w:t>
      </w:r>
      <w:r w:rsidR="00EC3FA9">
        <w:rPr>
          <w:rFonts w:ascii="Times New Roman" w:hAnsi="Times New Roman" w:cs="Times New Roman"/>
          <w:sz w:val="24"/>
          <w:szCs w:val="24"/>
        </w:rPr>
        <w:t>.</w:t>
      </w:r>
    </w:p>
    <w:p w14:paraId="6A3132B2" w14:textId="77777777" w:rsidR="00772B9B" w:rsidRPr="00C20646" w:rsidRDefault="005E5CF5" w:rsidP="00174FB3">
      <w:pPr>
        <w:pStyle w:val="ListParagraph"/>
        <w:numPr>
          <w:ilvl w:val="2"/>
          <w:numId w:val="1"/>
        </w:numPr>
        <w:jc w:val="both"/>
        <w:rPr>
          <w:rFonts w:ascii="Times New Roman" w:eastAsia="Times New Roman" w:hAnsi="Times New Roman" w:cs="Times New Roman"/>
          <w:bCs/>
          <w:sz w:val="24"/>
          <w:szCs w:val="24"/>
        </w:rPr>
      </w:pPr>
      <w:r w:rsidRPr="00C20646">
        <w:rPr>
          <w:rFonts w:ascii="Times New Roman" w:eastAsia="Times New Roman" w:hAnsi="Times New Roman" w:cs="Times New Roman"/>
          <w:bCs/>
          <w:sz w:val="24"/>
          <w:szCs w:val="24"/>
        </w:rPr>
        <w:t xml:space="preserve">par pienākumu BSN noteiktajā termiņā kārtot </w:t>
      </w:r>
      <w:r w:rsidRPr="00AE42CD">
        <w:rPr>
          <w:rFonts w:ascii="Times New Roman" w:eastAsia="Times New Roman" w:hAnsi="Times New Roman" w:cs="Times New Roman"/>
          <w:b/>
          <w:sz w:val="24"/>
          <w:szCs w:val="24"/>
        </w:rPr>
        <w:t>pārbaudi kompetenču, prasmju un zināšanu līmeņa novērtēšanai</w:t>
      </w:r>
      <w:r w:rsidRPr="00C20646">
        <w:rPr>
          <w:rFonts w:ascii="Times New Roman" w:eastAsia="Times New Roman" w:hAnsi="Times New Roman" w:cs="Times New Roman"/>
          <w:bCs/>
          <w:sz w:val="24"/>
          <w:szCs w:val="24"/>
        </w:rPr>
        <w:t>:</w:t>
      </w:r>
    </w:p>
    <w:p w14:paraId="7C72B8AB" w14:textId="3E58EA3E"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ja </w:t>
      </w:r>
      <w:r w:rsidRPr="0074638E">
        <w:rPr>
          <w:rFonts w:ascii="Times New Roman" w:hAnsi="Times New Roman" w:cs="Times New Roman"/>
          <w:sz w:val="24"/>
          <w:szCs w:val="24"/>
        </w:rPr>
        <w:t xml:space="preserve">saņemta informācija par vairākiem maznozīmīgiem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profesionālās darbības pārkāpumiem, kas kopumā neietekmē būvekspertīzes kvalitāti</w:t>
      </w:r>
      <w:r>
        <w:rPr>
          <w:rFonts w:ascii="Times New Roman" w:hAnsi="Times New Roman" w:cs="Times New Roman"/>
          <w:sz w:val="24"/>
          <w:szCs w:val="24"/>
        </w:rPr>
        <w:t>;</w:t>
      </w:r>
    </w:p>
    <w:p w14:paraId="58236870" w14:textId="741F33D9"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divus gadus piecu gadu laikā nav praktizējis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sertifikātā norādītajā jomā un darbības sfērā</w:t>
      </w:r>
      <w:r>
        <w:rPr>
          <w:rFonts w:ascii="Times New Roman" w:hAnsi="Times New Roman" w:cs="Times New Roman"/>
          <w:sz w:val="24"/>
          <w:szCs w:val="24"/>
        </w:rPr>
        <w:t>;</w:t>
      </w:r>
    </w:p>
    <w:p w14:paraId="616A7551" w14:textId="6C14F82D" w:rsidR="00772B9B"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būvspeciālistam</w:t>
      </w:r>
      <w:proofErr w:type="spellEnd"/>
      <w:r w:rsidRPr="0074638E">
        <w:rPr>
          <w:rFonts w:ascii="Times New Roman" w:hAnsi="Times New Roman" w:cs="Times New Roman"/>
          <w:sz w:val="24"/>
          <w:szCs w:val="24"/>
        </w:rPr>
        <w:t xml:space="preserve"> piecus gadus konkrētās sertificēšanas institūcijas, kas piešķīrusi būvprakses sertifikātu, noteiktajā apjomā nav bijuši kompetenci paaugstinoši pasākumi sertifikātā norādītajā jomā un darbības sfērā</w:t>
      </w:r>
      <w:r>
        <w:rPr>
          <w:rFonts w:ascii="Times New Roman" w:hAnsi="Times New Roman" w:cs="Times New Roman"/>
          <w:sz w:val="24"/>
          <w:szCs w:val="24"/>
        </w:rPr>
        <w:t>;</w:t>
      </w:r>
    </w:p>
    <w:p w14:paraId="085C6C21" w14:textId="7B81C95C" w:rsidR="007F509A" w:rsidRPr="002A7D9F" w:rsidRDefault="005E5CF5" w:rsidP="002A7D9F">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ja </w:t>
      </w:r>
      <w:proofErr w:type="spellStart"/>
      <w:r>
        <w:rPr>
          <w:rFonts w:ascii="Times New Roman" w:hAnsi="Times New Roman" w:cs="Times New Roman"/>
          <w:sz w:val="24"/>
          <w:szCs w:val="24"/>
        </w:rPr>
        <w:t>būvspeciālistam</w:t>
      </w:r>
      <w:proofErr w:type="spellEnd"/>
      <w:r w:rsidR="002B0AE3">
        <w:rPr>
          <w:rFonts w:ascii="Times New Roman" w:hAnsi="Times New Roman" w:cs="Times New Roman"/>
          <w:sz w:val="24"/>
          <w:szCs w:val="24"/>
        </w:rPr>
        <w:t xml:space="preserve"> </w:t>
      </w:r>
      <w:r>
        <w:rPr>
          <w:rFonts w:ascii="Times New Roman" w:hAnsi="Times New Roman" w:cs="Times New Roman"/>
          <w:sz w:val="24"/>
          <w:szCs w:val="24"/>
        </w:rPr>
        <w:t>brīdinājums par profesionālās darbības pārkāpumiem piecu gadu laikā izteikts divas reizes.</w:t>
      </w:r>
    </w:p>
    <w:p w14:paraId="5CACE56F"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par būvprakses sertifikāta darbības sfēras </w:t>
      </w:r>
      <w:r w:rsidRPr="00AE42CD">
        <w:rPr>
          <w:rFonts w:ascii="Times New Roman" w:eastAsia="Times New Roman" w:hAnsi="Times New Roman" w:cs="Times New Roman"/>
          <w:b/>
          <w:sz w:val="24"/>
          <w:szCs w:val="24"/>
        </w:rPr>
        <w:t>apturēšanu uz laiku:</w:t>
      </w:r>
    </w:p>
    <w:p w14:paraId="6FEABD0C" w14:textId="5D81E77E" w:rsidR="00772B9B" w:rsidRPr="009C0A6E" w:rsidRDefault="005E5CF5" w:rsidP="00491371">
      <w:pPr>
        <w:pStyle w:val="ListParagraph"/>
        <w:numPr>
          <w:ilvl w:val="3"/>
          <w:numId w:val="1"/>
        </w:numPr>
        <w:ind w:left="1134" w:hanging="861"/>
        <w:jc w:val="both"/>
        <w:rPr>
          <w:rFonts w:ascii="Times New Roman" w:hAnsi="Times New Roman" w:cs="Times New Roman"/>
          <w:sz w:val="24"/>
          <w:szCs w:val="24"/>
        </w:rPr>
      </w:pPr>
      <w:r w:rsidRPr="009C0A6E">
        <w:rPr>
          <w:rFonts w:ascii="Times New Roman" w:hAnsi="Times New Roman" w:cs="Times New Roman"/>
          <w:sz w:val="24"/>
          <w:szCs w:val="24"/>
        </w:rPr>
        <w:t xml:space="preserve">ja BSN rīcībā ir informācija, ka prokurors ir pieņēmis lēmumu saukt pie kriminālatbildības </w:t>
      </w:r>
      <w:proofErr w:type="spellStart"/>
      <w:r w:rsidRPr="009C0A6E">
        <w:rPr>
          <w:rFonts w:ascii="Times New Roman" w:hAnsi="Times New Roman" w:cs="Times New Roman"/>
          <w:sz w:val="24"/>
          <w:szCs w:val="24"/>
        </w:rPr>
        <w:t>būvspeciālistu</w:t>
      </w:r>
      <w:proofErr w:type="spellEnd"/>
      <w:r w:rsidRPr="009C0A6E">
        <w:rPr>
          <w:rFonts w:ascii="Times New Roman" w:hAnsi="Times New Roman" w:cs="Times New Roman"/>
          <w:sz w:val="24"/>
          <w:szCs w:val="24"/>
        </w:rPr>
        <w:t xml:space="preserve"> par noziedzīga nodarījuma izdarīšanu būvniecības jomā saskaņā ar MK noteikumu Nr.</w:t>
      </w:r>
      <w:r w:rsidR="00A630AE" w:rsidRPr="009C0A6E">
        <w:rPr>
          <w:rFonts w:ascii="Times New Roman" w:hAnsi="Times New Roman" w:cs="Times New Roman"/>
          <w:sz w:val="24"/>
          <w:szCs w:val="24"/>
        </w:rPr>
        <w:t xml:space="preserve"> </w:t>
      </w:r>
      <w:r w:rsidRPr="009C0A6E">
        <w:rPr>
          <w:rFonts w:ascii="Times New Roman" w:hAnsi="Times New Roman" w:cs="Times New Roman"/>
          <w:sz w:val="24"/>
          <w:szCs w:val="24"/>
        </w:rPr>
        <w:t>169 3.</w:t>
      </w:r>
      <w:r w:rsidR="00A630AE" w:rsidRPr="009C0A6E">
        <w:rPr>
          <w:rFonts w:ascii="Times New Roman" w:hAnsi="Times New Roman" w:cs="Times New Roman"/>
          <w:sz w:val="24"/>
          <w:szCs w:val="24"/>
        </w:rPr>
        <w:t xml:space="preserve"> </w:t>
      </w:r>
      <w:r w:rsidRPr="009C0A6E">
        <w:rPr>
          <w:rFonts w:ascii="Times New Roman" w:hAnsi="Times New Roman" w:cs="Times New Roman"/>
          <w:sz w:val="24"/>
          <w:szCs w:val="24"/>
        </w:rPr>
        <w:t>pielikumu;</w:t>
      </w:r>
    </w:p>
    <w:p w14:paraId="1B635A84" w14:textId="2DF92DC5" w:rsidR="00772B9B" w:rsidRPr="009C0A6E" w:rsidRDefault="00547C30" w:rsidP="00491371">
      <w:pPr>
        <w:pStyle w:val="ListParagraph"/>
        <w:numPr>
          <w:ilvl w:val="3"/>
          <w:numId w:val="1"/>
        </w:numPr>
        <w:ind w:left="1134" w:hanging="861"/>
        <w:jc w:val="both"/>
        <w:rPr>
          <w:rFonts w:ascii="Times New Roman" w:hAnsi="Times New Roman" w:cs="Times New Roman"/>
          <w:sz w:val="24"/>
          <w:szCs w:val="24"/>
        </w:rPr>
      </w:pPr>
      <w:r w:rsidRPr="009C0A6E">
        <w:rPr>
          <w:rFonts w:ascii="Times New Roman" w:hAnsi="Times New Roman" w:cs="Times New Roman"/>
          <w:sz w:val="24"/>
          <w:szCs w:val="24"/>
        </w:rPr>
        <w:t>sertificēšanas shēmas 4.1.4.1.</w:t>
      </w:r>
      <w:r w:rsidR="008F476A" w:rsidRPr="009C0A6E">
        <w:rPr>
          <w:rFonts w:ascii="Times New Roman" w:hAnsi="Times New Roman" w:cs="Times New Roman"/>
          <w:sz w:val="24"/>
          <w:szCs w:val="24"/>
        </w:rPr>
        <w:t>-</w:t>
      </w:r>
      <w:r w:rsidRPr="009C0A6E">
        <w:rPr>
          <w:rFonts w:ascii="Times New Roman" w:hAnsi="Times New Roman" w:cs="Times New Roman"/>
          <w:sz w:val="24"/>
          <w:szCs w:val="24"/>
        </w:rPr>
        <w:t xml:space="preserve"> 4.1.4.</w:t>
      </w:r>
      <w:r w:rsidR="008F476A" w:rsidRPr="009C0A6E">
        <w:rPr>
          <w:rFonts w:ascii="Times New Roman" w:hAnsi="Times New Roman" w:cs="Times New Roman"/>
          <w:sz w:val="24"/>
          <w:szCs w:val="24"/>
        </w:rPr>
        <w:t>6</w:t>
      </w:r>
      <w:r w:rsidRPr="009C0A6E">
        <w:rPr>
          <w:rFonts w:ascii="Times New Roman" w:hAnsi="Times New Roman" w:cs="Times New Roman"/>
          <w:sz w:val="24"/>
          <w:szCs w:val="24"/>
        </w:rPr>
        <w:t xml:space="preserve">. apakšpunktā noteiktajos gadījumos; </w:t>
      </w:r>
    </w:p>
    <w:p w14:paraId="6E96C1FE" w14:textId="4B5DBA6E" w:rsidR="00772B9B" w:rsidRPr="009C0A6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 xml:space="preserve">saņemts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iesniegums par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sertifikāta darbības </w:t>
      </w:r>
      <w:r w:rsidRPr="009C0A6E">
        <w:rPr>
          <w:rFonts w:ascii="Times New Roman" w:hAnsi="Times New Roman" w:cs="Times New Roman"/>
          <w:sz w:val="24"/>
          <w:szCs w:val="24"/>
        </w:rPr>
        <w:t>apturēšanu;</w:t>
      </w:r>
    </w:p>
    <w:p w14:paraId="289D2576" w14:textId="65C5DBF6" w:rsidR="00772B9B" w:rsidRPr="009C0A6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9C0A6E">
        <w:rPr>
          <w:rFonts w:ascii="Times New Roman" w:hAnsi="Times New Roman" w:cs="Times New Roman"/>
          <w:sz w:val="24"/>
          <w:szCs w:val="24"/>
        </w:rPr>
        <w:t>būvspeciālistam</w:t>
      </w:r>
      <w:proofErr w:type="spellEnd"/>
      <w:r w:rsidRPr="009C0A6E">
        <w:rPr>
          <w:rFonts w:ascii="Times New Roman" w:hAnsi="Times New Roman" w:cs="Times New Roman"/>
          <w:sz w:val="24"/>
          <w:szCs w:val="24"/>
        </w:rPr>
        <w:t xml:space="preserve"> apturēts arhitekta prakses sertifikāts vai būvprakses sertifikāts attiecīgajā darbības sfērā projektēšanas, būvdarbu vadīšanas vai būvuzraudzības specialitātē 10.1.3.</w:t>
      </w:r>
      <w:r w:rsidR="00DC2943" w:rsidRPr="009C0A6E">
        <w:rPr>
          <w:rFonts w:ascii="Times New Roman" w:hAnsi="Times New Roman" w:cs="Times New Roman"/>
          <w:sz w:val="24"/>
          <w:szCs w:val="24"/>
        </w:rPr>
        <w:t>1.-10.1.3.</w:t>
      </w:r>
      <w:r w:rsidR="000C3029" w:rsidRPr="009C0A6E">
        <w:rPr>
          <w:rFonts w:ascii="Times New Roman" w:hAnsi="Times New Roman" w:cs="Times New Roman"/>
          <w:sz w:val="24"/>
          <w:szCs w:val="24"/>
        </w:rPr>
        <w:t>3</w:t>
      </w:r>
      <w:r w:rsidR="00DC2943" w:rsidRPr="009C0A6E">
        <w:rPr>
          <w:rFonts w:ascii="Times New Roman" w:hAnsi="Times New Roman" w:cs="Times New Roman"/>
          <w:sz w:val="24"/>
          <w:szCs w:val="24"/>
        </w:rPr>
        <w:t>.</w:t>
      </w:r>
      <w:r w:rsidRPr="009C0A6E">
        <w:rPr>
          <w:rFonts w:ascii="Times New Roman" w:hAnsi="Times New Roman" w:cs="Times New Roman"/>
          <w:sz w:val="24"/>
          <w:szCs w:val="24"/>
        </w:rPr>
        <w:t xml:space="preserve"> </w:t>
      </w:r>
      <w:r w:rsidR="00C20646" w:rsidRPr="009C0A6E">
        <w:rPr>
          <w:rFonts w:ascii="Times New Roman" w:hAnsi="Times New Roman" w:cs="Times New Roman"/>
          <w:sz w:val="24"/>
          <w:szCs w:val="24"/>
        </w:rPr>
        <w:t>apakš</w:t>
      </w:r>
      <w:r w:rsidRPr="009C0A6E">
        <w:rPr>
          <w:rFonts w:ascii="Times New Roman" w:hAnsi="Times New Roman" w:cs="Times New Roman"/>
          <w:sz w:val="24"/>
          <w:szCs w:val="24"/>
        </w:rPr>
        <w:t>punktā noteiktajos gadījumos;</w:t>
      </w:r>
    </w:p>
    <w:p w14:paraId="2D7E0409" w14:textId="72944993" w:rsidR="00B40CC0" w:rsidRPr="009C0A6E" w:rsidRDefault="00AE42CD" w:rsidP="00491371">
      <w:pPr>
        <w:pStyle w:val="ListParagraph"/>
        <w:numPr>
          <w:ilvl w:val="3"/>
          <w:numId w:val="1"/>
        </w:numPr>
        <w:ind w:left="1134" w:hanging="861"/>
        <w:jc w:val="both"/>
        <w:rPr>
          <w:rFonts w:ascii="Times New Roman" w:hAnsi="Times New Roman" w:cs="Times New Roman"/>
          <w:sz w:val="24"/>
          <w:szCs w:val="24"/>
        </w:rPr>
      </w:pPr>
      <w:r w:rsidRPr="009C0A6E">
        <w:rPr>
          <w:rFonts w:ascii="Times New Roman" w:hAnsi="Times New Roman" w:cs="Times New Roman"/>
          <w:sz w:val="24"/>
          <w:szCs w:val="24"/>
        </w:rPr>
        <w:t>sertificēšanas shēmas 4.1.4.7. apakšpunktā noteiktajā gadījumā</w:t>
      </w:r>
      <w:r w:rsidR="000C3029" w:rsidRPr="009C0A6E">
        <w:rPr>
          <w:rFonts w:ascii="Times New Roman" w:hAnsi="Times New Roman" w:cs="Times New Roman"/>
          <w:sz w:val="24"/>
          <w:szCs w:val="24"/>
          <w:shd w:val="clear" w:color="auto" w:fill="FFFFFF"/>
        </w:rPr>
        <w:t>.</w:t>
      </w:r>
    </w:p>
    <w:p w14:paraId="2FB2E0D5" w14:textId="2464B263"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par būvprakses sertifikāta darbības sfēras </w:t>
      </w:r>
      <w:r w:rsidRPr="00AE42CD">
        <w:rPr>
          <w:rFonts w:ascii="Times New Roman" w:eastAsia="Times New Roman" w:hAnsi="Times New Roman" w:cs="Times New Roman"/>
          <w:b/>
          <w:sz w:val="24"/>
          <w:szCs w:val="24"/>
        </w:rPr>
        <w:t>apturēšanu uz laiku no trim mēnešiem līdz 10 gadiem</w:t>
      </w:r>
      <w:r w:rsidRPr="00174FB3">
        <w:rPr>
          <w:rFonts w:ascii="Times New Roman" w:eastAsia="Times New Roman" w:hAnsi="Times New Roman" w:cs="Times New Roman"/>
          <w:bCs/>
          <w:sz w:val="24"/>
          <w:szCs w:val="24"/>
        </w:rPr>
        <w:t>:</w:t>
      </w:r>
    </w:p>
    <w:p w14:paraId="7C68115C" w14:textId="0F779BBC"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apzināti sniedzis nepatiesas ziņas</w:t>
      </w:r>
      <w:r>
        <w:rPr>
          <w:rFonts w:ascii="Times New Roman" w:hAnsi="Times New Roman" w:cs="Times New Roman"/>
          <w:sz w:val="24"/>
          <w:szCs w:val="24"/>
        </w:rPr>
        <w:t>;</w:t>
      </w:r>
    </w:p>
    <w:p w14:paraId="3F6EE94A" w14:textId="7A9E36DD"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 xml:space="preserve">nav konstatējami pierādījumi, ka </w:t>
      </w: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pats izpildījis darbus, par kuriem viņš parakstījies kā atbildīgais </w:t>
      </w:r>
      <w:proofErr w:type="spellStart"/>
      <w:r w:rsidRPr="0074638E">
        <w:rPr>
          <w:rFonts w:ascii="Times New Roman" w:hAnsi="Times New Roman" w:cs="Times New Roman"/>
          <w:sz w:val="24"/>
          <w:szCs w:val="24"/>
        </w:rPr>
        <w:t>būvspeciālists</w:t>
      </w:r>
      <w:proofErr w:type="spellEnd"/>
      <w:r>
        <w:rPr>
          <w:rFonts w:ascii="Times New Roman" w:hAnsi="Times New Roman" w:cs="Times New Roman"/>
          <w:sz w:val="24"/>
          <w:szCs w:val="24"/>
        </w:rPr>
        <w:t>;</w:t>
      </w:r>
    </w:p>
    <w:p w14:paraId="1CF880E5" w14:textId="362C7256"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būvspeciālistam</w:t>
      </w:r>
      <w:proofErr w:type="spellEnd"/>
      <w:r w:rsidRPr="0074638E">
        <w:rPr>
          <w:rFonts w:ascii="Times New Roman" w:hAnsi="Times New Roman" w:cs="Times New Roman"/>
          <w:sz w:val="24"/>
          <w:szCs w:val="24"/>
        </w:rPr>
        <w:t xml:space="preserve"> nākamo divu gadu laikā pēc sekmīgas atkārtotas kompetences pārbaudes nokārtošanas </w:t>
      </w:r>
      <w:r w:rsidRPr="00C20646">
        <w:rPr>
          <w:rFonts w:ascii="Times New Roman" w:hAnsi="Times New Roman" w:cs="Times New Roman"/>
          <w:sz w:val="24"/>
          <w:szCs w:val="24"/>
        </w:rPr>
        <w:t>10.1.2.</w:t>
      </w:r>
      <w:r w:rsidR="007325ED">
        <w:rPr>
          <w:rFonts w:ascii="Times New Roman" w:hAnsi="Times New Roman" w:cs="Times New Roman"/>
          <w:sz w:val="24"/>
          <w:szCs w:val="24"/>
        </w:rPr>
        <w:t xml:space="preserve"> </w:t>
      </w:r>
      <w:r w:rsidR="00C20646">
        <w:rPr>
          <w:rFonts w:ascii="Times New Roman" w:hAnsi="Times New Roman" w:cs="Times New Roman"/>
          <w:sz w:val="24"/>
          <w:szCs w:val="24"/>
        </w:rPr>
        <w:t>apakš</w:t>
      </w:r>
      <w:r w:rsidRPr="00C20646">
        <w:rPr>
          <w:rFonts w:ascii="Times New Roman" w:hAnsi="Times New Roman" w:cs="Times New Roman"/>
          <w:sz w:val="24"/>
          <w:szCs w:val="24"/>
        </w:rPr>
        <w:t>punktā</w:t>
      </w:r>
      <w:r w:rsidRPr="0074638E">
        <w:rPr>
          <w:rFonts w:ascii="Times New Roman" w:hAnsi="Times New Roman" w:cs="Times New Roman"/>
          <w:sz w:val="24"/>
          <w:szCs w:val="24"/>
        </w:rPr>
        <w:t xml:space="preserve"> noteiktajos gadījumos piemērots vismaz viens brīdinājums</w:t>
      </w:r>
      <w:r>
        <w:rPr>
          <w:rFonts w:ascii="Times New Roman" w:hAnsi="Times New Roman" w:cs="Times New Roman"/>
          <w:sz w:val="24"/>
          <w:szCs w:val="24"/>
        </w:rPr>
        <w:t>;</w:t>
      </w:r>
    </w:p>
    <w:p w14:paraId="04758FD6" w14:textId="2DFE20AD"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nav izpildījis būvniecību reglamentējošajos normatīvajos aktos noteikto prasību par neatkarības ievērošanu</w:t>
      </w:r>
      <w:r>
        <w:rPr>
          <w:rFonts w:ascii="Times New Roman" w:hAnsi="Times New Roman" w:cs="Times New Roman"/>
          <w:sz w:val="24"/>
          <w:szCs w:val="24"/>
        </w:rPr>
        <w:t>;</w:t>
      </w:r>
    </w:p>
    <w:p w14:paraId="2D1BB286" w14:textId="09386B1C"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ir nepamatoti sniedzis pozitīvu vai negatīvu ekspertīzes atzinumu</w:t>
      </w:r>
      <w:r>
        <w:rPr>
          <w:rFonts w:ascii="Times New Roman" w:hAnsi="Times New Roman" w:cs="Times New Roman"/>
          <w:sz w:val="24"/>
          <w:szCs w:val="24"/>
        </w:rPr>
        <w:t>;</w:t>
      </w:r>
    </w:p>
    <w:p w14:paraId="1A9C97D9" w14:textId="5471D7FA"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nav izpildījis būvniecību reglamentējošajos normatīvajos aktos noteikto prasību dokumentēt ekspertīzes veikšanas gaitu un glabāt ekspertīzes dokumentāciju</w:t>
      </w:r>
      <w:r>
        <w:rPr>
          <w:rFonts w:ascii="Times New Roman" w:hAnsi="Times New Roman" w:cs="Times New Roman"/>
          <w:sz w:val="24"/>
          <w:szCs w:val="24"/>
        </w:rPr>
        <w:t>;</w:t>
      </w:r>
    </w:p>
    <w:p w14:paraId="047A1928" w14:textId="058BA863" w:rsidR="00772B9B" w:rsidRPr="00C13957"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C13957">
        <w:rPr>
          <w:rFonts w:ascii="Times New Roman" w:hAnsi="Times New Roman" w:cs="Times New Roman"/>
          <w:sz w:val="24"/>
          <w:szCs w:val="24"/>
        </w:rPr>
        <w:t>būvspeciālistam</w:t>
      </w:r>
      <w:proofErr w:type="spellEnd"/>
      <w:r w:rsidRPr="00C13957">
        <w:rPr>
          <w:rFonts w:ascii="Times New Roman" w:hAnsi="Times New Roman" w:cs="Times New Roman"/>
          <w:sz w:val="24"/>
          <w:szCs w:val="24"/>
        </w:rPr>
        <w:t xml:space="preserve"> saskaņā ar 10.1.4.</w:t>
      </w:r>
      <w:r w:rsidR="007325ED">
        <w:rPr>
          <w:rFonts w:ascii="Times New Roman" w:hAnsi="Times New Roman" w:cs="Times New Roman"/>
          <w:sz w:val="24"/>
          <w:szCs w:val="24"/>
        </w:rPr>
        <w:t xml:space="preserve"> </w:t>
      </w:r>
      <w:r w:rsidR="00AE3627">
        <w:rPr>
          <w:rFonts w:ascii="Times New Roman" w:hAnsi="Times New Roman" w:cs="Times New Roman"/>
          <w:sz w:val="24"/>
          <w:szCs w:val="24"/>
        </w:rPr>
        <w:t>apakš</w:t>
      </w:r>
      <w:r w:rsidRPr="00C13957">
        <w:rPr>
          <w:rFonts w:ascii="Times New Roman" w:hAnsi="Times New Roman" w:cs="Times New Roman"/>
          <w:sz w:val="24"/>
          <w:szCs w:val="24"/>
        </w:rPr>
        <w:t>punktu apturēts arhitekta prakses sertifikāts vai būvprakses sertifikāts darbības sfērā projektēšanas, būvdarbu vadīšanas vai būvuzraudzības specialitātē;</w:t>
      </w:r>
    </w:p>
    <w:p w14:paraId="5F49C1F0" w14:textId="3A273900" w:rsidR="00C13957" w:rsidRPr="00AE42CD" w:rsidRDefault="005E5CF5" w:rsidP="00C13957">
      <w:pPr>
        <w:pStyle w:val="ListParagraph"/>
        <w:numPr>
          <w:ilvl w:val="3"/>
          <w:numId w:val="1"/>
        </w:numPr>
        <w:ind w:left="1134" w:hanging="861"/>
        <w:jc w:val="both"/>
        <w:rPr>
          <w:rFonts w:ascii="Times New Roman" w:hAnsi="Times New Roman" w:cs="Times New Roman"/>
          <w:sz w:val="24"/>
          <w:szCs w:val="24"/>
        </w:rPr>
      </w:pPr>
      <w:proofErr w:type="spellStart"/>
      <w:r w:rsidRPr="00932704">
        <w:rPr>
          <w:rFonts w:ascii="Times New Roman" w:hAnsi="Times New Roman" w:cs="Times New Roman"/>
          <w:sz w:val="24"/>
          <w:szCs w:val="24"/>
        </w:rPr>
        <w:lastRenderedPageBreak/>
        <w:t>būvspeciālists</w:t>
      </w:r>
      <w:proofErr w:type="spellEnd"/>
      <w:r w:rsidRPr="00932704">
        <w:rPr>
          <w:rFonts w:ascii="Times New Roman" w:hAnsi="Times New Roman" w:cs="Times New Roman"/>
          <w:sz w:val="24"/>
          <w:szCs w:val="24"/>
        </w:rPr>
        <w:t xml:space="preserve"> ir veicis darbības</w:t>
      </w:r>
      <w:r w:rsidR="004B3D72">
        <w:rPr>
          <w:rFonts w:ascii="Times New Roman" w:hAnsi="Times New Roman" w:cs="Times New Roman"/>
          <w:sz w:val="24"/>
          <w:szCs w:val="24"/>
        </w:rPr>
        <w:t xml:space="preserve"> savas </w:t>
      </w:r>
      <w:r w:rsidR="00A070E4">
        <w:rPr>
          <w:rFonts w:ascii="Times New Roman" w:hAnsi="Times New Roman" w:cs="Times New Roman"/>
          <w:sz w:val="24"/>
          <w:szCs w:val="24"/>
        </w:rPr>
        <w:t>patstāvīgās prakses</w:t>
      </w:r>
      <w:r w:rsidR="004B3D72">
        <w:rPr>
          <w:rFonts w:ascii="Times New Roman" w:hAnsi="Times New Roman" w:cs="Times New Roman"/>
          <w:sz w:val="24"/>
          <w:szCs w:val="24"/>
        </w:rPr>
        <w:t xml:space="preserve"> ietvaros</w:t>
      </w:r>
      <w:r w:rsidRPr="00932704">
        <w:rPr>
          <w:rFonts w:ascii="Times New Roman" w:hAnsi="Times New Roman" w:cs="Times New Roman"/>
          <w:sz w:val="24"/>
          <w:szCs w:val="24"/>
        </w:rPr>
        <w:t>, kas varēja būtiski apdraudēt cilvēka veselību, dzīvību vai vidi.</w:t>
      </w:r>
    </w:p>
    <w:p w14:paraId="13BA3DAF" w14:textId="7347A357" w:rsidR="00C20646" w:rsidRPr="009C0A6E" w:rsidRDefault="00C20646"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hAnsi="Times New Roman" w:cs="Times New Roman"/>
          <w:sz w:val="24"/>
          <w:szCs w:val="24"/>
          <w:shd w:val="clear" w:color="auto" w:fill="FFFFFF"/>
        </w:rPr>
        <w:t xml:space="preserve">par būvekspertīzes sertifikāta darbības </w:t>
      </w:r>
      <w:r w:rsidRPr="009C0A6E">
        <w:rPr>
          <w:rFonts w:ascii="Times New Roman" w:hAnsi="Times New Roman" w:cs="Times New Roman"/>
          <w:b/>
          <w:bCs/>
          <w:sz w:val="24"/>
          <w:szCs w:val="24"/>
          <w:shd w:val="clear" w:color="auto" w:fill="FFFFFF"/>
        </w:rPr>
        <w:t>apturēšanu visās darbības sfērās</w:t>
      </w:r>
      <w:r w:rsidRPr="009C0A6E">
        <w:rPr>
          <w:rFonts w:ascii="Times New Roman" w:hAnsi="Times New Roman" w:cs="Times New Roman"/>
          <w:sz w:val="24"/>
          <w:szCs w:val="24"/>
          <w:shd w:val="clear" w:color="auto" w:fill="FFFFFF"/>
        </w:rPr>
        <w:t>, ja:</w:t>
      </w:r>
    </w:p>
    <w:p w14:paraId="1881C602" w14:textId="6B27232A" w:rsidR="00C20646" w:rsidRPr="009C0A6E" w:rsidRDefault="00C20646" w:rsidP="006A7C4A">
      <w:pPr>
        <w:pStyle w:val="ListParagraph"/>
        <w:numPr>
          <w:ilvl w:val="3"/>
          <w:numId w:val="1"/>
        </w:numPr>
        <w:ind w:left="1134" w:hanging="861"/>
        <w:jc w:val="both"/>
        <w:rPr>
          <w:rFonts w:ascii="Times New Roman" w:hAnsi="Times New Roman" w:cs="Times New Roman"/>
          <w:sz w:val="24"/>
          <w:szCs w:val="24"/>
        </w:rPr>
      </w:pPr>
      <w:r w:rsidRPr="009C0A6E">
        <w:rPr>
          <w:rFonts w:ascii="Times New Roman" w:hAnsi="Times New Roman" w:cs="Times New Roman"/>
          <w:sz w:val="24"/>
          <w:szCs w:val="24"/>
        </w:rPr>
        <w:t xml:space="preserve">saskaņā </w:t>
      </w:r>
      <w:r w:rsidR="00C83433" w:rsidRPr="009C0A6E">
        <w:rPr>
          <w:rFonts w:ascii="Times New Roman" w:hAnsi="Times New Roman" w:cs="Times New Roman"/>
          <w:sz w:val="24"/>
          <w:szCs w:val="24"/>
        </w:rPr>
        <w:t xml:space="preserve">ar </w:t>
      </w:r>
      <w:r w:rsidRPr="009C0A6E">
        <w:rPr>
          <w:rFonts w:ascii="Times New Roman" w:hAnsi="Times New Roman" w:cs="Times New Roman"/>
          <w:sz w:val="24"/>
          <w:szCs w:val="24"/>
        </w:rPr>
        <w:t>sertificēšanas shēmas</w:t>
      </w:r>
      <w:r w:rsidR="00C83433" w:rsidRPr="009C0A6E">
        <w:rPr>
          <w:rFonts w:ascii="Times New Roman" w:hAnsi="Times New Roman" w:cs="Times New Roman"/>
          <w:sz w:val="24"/>
          <w:szCs w:val="24"/>
        </w:rPr>
        <w:t xml:space="preserve"> </w:t>
      </w:r>
      <w:r w:rsidRPr="009C0A6E">
        <w:rPr>
          <w:rFonts w:ascii="Times New Roman" w:hAnsi="Times New Roman" w:cs="Times New Roman"/>
          <w:sz w:val="24"/>
          <w:szCs w:val="24"/>
        </w:rPr>
        <w:t>10.1.3.</w:t>
      </w:r>
      <w:r w:rsidR="00C83433" w:rsidRPr="009C0A6E">
        <w:rPr>
          <w:rFonts w:ascii="Times New Roman" w:hAnsi="Times New Roman" w:cs="Times New Roman"/>
          <w:sz w:val="24"/>
          <w:szCs w:val="24"/>
        </w:rPr>
        <w:t> </w:t>
      </w:r>
      <w:r w:rsidRPr="009C0A6E">
        <w:rPr>
          <w:rFonts w:ascii="Times New Roman" w:hAnsi="Times New Roman" w:cs="Times New Roman"/>
          <w:sz w:val="24"/>
          <w:szCs w:val="24"/>
        </w:rPr>
        <w:t>apakšpunktu konstatēti pārkāpumi būvekspertīzes specialitātē;</w:t>
      </w:r>
    </w:p>
    <w:p w14:paraId="094EF429" w14:textId="0DC29729" w:rsidR="00C20646" w:rsidRPr="009C0A6E" w:rsidRDefault="00C20646" w:rsidP="006A7C4A">
      <w:pPr>
        <w:pStyle w:val="ListParagraph"/>
        <w:numPr>
          <w:ilvl w:val="3"/>
          <w:numId w:val="1"/>
        </w:numPr>
        <w:ind w:left="1134" w:hanging="861"/>
        <w:jc w:val="both"/>
        <w:rPr>
          <w:rFonts w:ascii="Times New Roman" w:hAnsi="Times New Roman" w:cs="Times New Roman"/>
          <w:sz w:val="24"/>
          <w:szCs w:val="24"/>
        </w:rPr>
      </w:pPr>
      <w:r w:rsidRPr="009C0A6E">
        <w:rPr>
          <w:rFonts w:ascii="Times New Roman" w:hAnsi="Times New Roman" w:cs="Times New Roman"/>
          <w:sz w:val="24"/>
          <w:szCs w:val="24"/>
          <w:shd w:val="clear" w:color="auto" w:fill="FFFFFF"/>
        </w:rPr>
        <w:t xml:space="preserve">saskaņā </w:t>
      </w:r>
      <w:r w:rsidR="00C83433" w:rsidRPr="009C0A6E">
        <w:rPr>
          <w:rFonts w:ascii="Times New Roman" w:hAnsi="Times New Roman" w:cs="Times New Roman"/>
          <w:sz w:val="24"/>
          <w:szCs w:val="24"/>
          <w:shd w:val="clear" w:color="auto" w:fill="FFFFFF"/>
        </w:rPr>
        <w:t xml:space="preserve">ar </w:t>
      </w:r>
      <w:r w:rsidRPr="009C0A6E">
        <w:rPr>
          <w:rFonts w:ascii="Times New Roman" w:hAnsi="Times New Roman" w:cs="Times New Roman"/>
          <w:sz w:val="24"/>
          <w:szCs w:val="24"/>
          <w:shd w:val="clear" w:color="auto" w:fill="FFFFFF"/>
        </w:rPr>
        <w:t>sertificēšanas shēmas</w:t>
      </w:r>
      <w:r w:rsidR="00C83433" w:rsidRPr="009C0A6E">
        <w:rPr>
          <w:rFonts w:ascii="Times New Roman" w:hAnsi="Times New Roman" w:cs="Times New Roman"/>
          <w:sz w:val="24"/>
          <w:szCs w:val="24"/>
          <w:shd w:val="clear" w:color="auto" w:fill="FFFFFF"/>
        </w:rPr>
        <w:t xml:space="preserve"> </w:t>
      </w:r>
      <w:r w:rsidRPr="009C0A6E">
        <w:rPr>
          <w:rFonts w:ascii="Times New Roman" w:hAnsi="Times New Roman" w:cs="Times New Roman"/>
          <w:sz w:val="24"/>
          <w:szCs w:val="24"/>
          <w:shd w:val="clear" w:color="auto" w:fill="FFFFFF"/>
        </w:rPr>
        <w:t>10.1.4. apakšpunktu apturēts arhitekta prakses sertifikāts vai būvprakses sertifikāt</w:t>
      </w:r>
      <w:r w:rsidR="00C83433" w:rsidRPr="009C0A6E">
        <w:rPr>
          <w:rFonts w:ascii="Times New Roman" w:hAnsi="Times New Roman" w:cs="Times New Roman"/>
          <w:sz w:val="24"/>
          <w:szCs w:val="24"/>
          <w:shd w:val="clear" w:color="auto" w:fill="FFFFFF"/>
        </w:rPr>
        <w:t>a</w:t>
      </w:r>
      <w:r w:rsidRPr="009C0A6E">
        <w:rPr>
          <w:rFonts w:ascii="Times New Roman" w:hAnsi="Times New Roman" w:cs="Times New Roman"/>
          <w:sz w:val="24"/>
          <w:szCs w:val="24"/>
          <w:shd w:val="clear" w:color="auto" w:fill="FFFFFF"/>
        </w:rPr>
        <w:t xml:space="preserve"> darbības sfēr</w:t>
      </w:r>
      <w:r w:rsidR="000C3029" w:rsidRPr="009C0A6E">
        <w:rPr>
          <w:rFonts w:ascii="Times New Roman" w:hAnsi="Times New Roman" w:cs="Times New Roman"/>
          <w:sz w:val="24"/>
          <w:szCs w:val="24"/>
          <w:shd w:val="clear" w:color="auto" w:fill="FFFFFF"/>
        </w:rPr>
        <w:t>ā</w:t>
      </w:r>
      <w:r w:rsidRPr="009C0A6E">
        <w:rPr>
          <w:rFonts w:ascii="Times New Roman" w:hAnsi="Times New Roman" w:cs="Times New Roman"/>
          <w:sz w:val="24"/>
          <w:szCs w:val="24"/>
          <w:shd w:val="clear" w:color="auto" w:fill="FFFFFF"/>
        </w:rPr>
        <w:t xml:space="preserve"> projektēšanas, būvdarbu vadīšanas vai būvuzraudzības specialitātē</w:t>
      </w:r>
      <w:r w:rsidR="00C83433" w:rsidRPr="009C0A6E">
        <w:rPr>
          <w:rFonts w:ascii="Times New Roman" w:hAnsi="Times New Roman" w:cs="Times New Roman"/>
          <w:sz w:val="24"/>
          <w:szCs w:val="24"/>
          <w:shd w:val="clear" w:color="auto" w:fill="FFFFFF"/>
        </w:rPr>
        <w:t>.</w:t>
      </w:r>
    </w:p>
    <w:p w14:paraId="06544C60" w14:textId="54888099"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par būvprakses sertifikātā norādītās darbības sfēras </w:t>
      </w:r>
      <w:r w:rsidRPr="00AE42CD">
        <w:rPr>
          <w:rFonts w:ascii="Times New Roman" w:eastAsia="Times New Roman" w:hAnsi="Times New Roman" w:cs="Times New Roman"/>
          <w:b/>
          <w:sz w:val="24"/>
          <w:szCs w:val="24"/>
        </w:rPr>
        <w:t>anulēšanu</w:t>
      </w:r>
      <w:r w:rsidRPr="00174FB3">
        <w:rPr>
          <w:rFonts w:ascii="Times New Roman" w:eastAsia="Times New Roman" w:hAnsi="Times New Roman" w:cs="Times New Roman"/>
          <w:bCs/>
          <w:sz w:val="24"/>
          <w:szCs w:val="24"/>
        </w:rPr>
        <w:t>:</w:t>
      </w:r>
    </w:p>
    <w:p w14:paraId="6B02C3F5" w14:textId="7D2DB16B"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 xml:space="preserve">saņemts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iesniegums par būvprakses sertifikāta darbības sfēras anulēšanu</w:t>
      </w:r>
      <w:r>
        <w:rPr>
          <w:rFonts w:ascii="Times New Roman" w:hAnsi="Times New Roman" w:cs="Times New Roman"/>
          <w:sz w:val="24"/>
          <w:szCs w:val="24"/>
        </w:rPr>
        <w:t>;</w:t>
      </w:r>
    </w:p>
    <w:p w14:paraId="642479F9" w14:textId="5CFC588B"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apzināti sniedzis nepatiesas ziņas, kas bija par pamatu lēmuma pieņemšanai par sertifikāt</w:t>
      </w:r>
      <w:r>
        <w:rPr>
          <w:rFonts w:ascii="Times New Roman" w:hAnsi="Times New Roman" w:cs="Times New Roman"/>
          <w:sz w:val="24"/>
          <w:szCs w:val="24"/>
        </w:rPr>
        <w:t>a</w:t>
      </w:r>
      <w:r w:rsidRPr="0074638E">
        <w:rPr>
          <w:rFonts w:ascii="Times New Roman" w:hAnsi="Times New Roman" w:cs="Times New Roman"/>
          <w:sz w:val="24"/>
          <w:szCs w:val="24"/>
        </w:rPr>
        <w:t xml:space="preserve"> vai darbības sfēras piešķiršanu</w:t>
      </w:r>
      <w:r>
        <w:rPr>
          <w:rFonts w:ascii="Times New Roman" w:hAnsi="Times New Roman" w:cs="Times New Roman"/>
          <w:sz w:val="24"/>
          <w:szCs w:val="24"/>
        </w:rPr>
        <w:t>;</w:t>
      </w:r>
    </w:p>
    <w:p w14:paraId="66683BEB" w14:textId="504AEB75"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 xml:space="preserve">spēkā stājies prokurora priekšraksts par sodu vai tiesas spriedums, ar kuru </w:t>
      </w: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sodīts par noziedzīgu nodarījumu būvniecības jomā saskaņā ar MK noteikumu Nr.</w:t>
      </w:r>
      <w:r w:rsidR="007E1B53">
        <w:rPr>
          <w:rFonts w:ascii="Times New Roman" w:hAnsi="Times New Roman" w:cs="Times New Roman"/>
          <w:sz w:val="24"/>
          <w:szCs w:val="24"/>
        </w:rPr>
        <w:t xml:space="preserve"> </w:t>
      </w:r>
      <w:r w:rsidRPr="0074638E">
        <w:rPr>
          <w:rFonts w:ascii="Times New Roman" w:hAnsi="Times New Roman" w:cs="Times New Roman"/>
          <w:sz w:val="24"/>
          <w:szCs w:val="24"/>
        </w:rPr>
        <w:t>169 3.</w:t>
      </w:r>
      <w:r w:rsidR="007E1B53">
        <w:rPr>
          <w:rFonts w:ascii="Times New Roman" w:hAnsi="Times New Roman" w:cs="Times New Roman"/>
          <w:sz w:val="24"/>
          <w:szCs w:val="24"/>
        </w:rPr>
        <w:t xml:space="preserve"> </w:t>
      </w:r>
      <w:r w:rsidRPr="0074638E">
        <w:rPr>
          <w:rFonts w:ascii="Times New Roman" w:hAnsi="Times New Roman" w:cs="Times New Roman"/>
          <w:sz w:val="24"/>
          <w:szCs w:val="24"/>
        </w:rPr>
        <w:t>pielikumu</w:t>
      </w:r>
      <w:r>
        <w:rPr>
          <w:rFonts w:ascii="Times New Roman" w:hAnsi="Times New Roman" w:cs="Times New Roman"/>
          <w:sz w:val="24"/>
          <w:szCs w:val="24"/>
        </w:rPr>
        <w:t>;</w:t>
      </w:r>
    </w:p>
    <w:p w14:paraId="47CF86E1" w14:textId="71C0CF2E" w:rsidR="00772B9B" w:rsidRPr="009C0A6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9C0A6E">
        <w:rPr>
          <w:rFonts w:ascii="Times New Roman" w:hAnsi="Times New Roman" w:cs="Times New Roman"/>
          <w:sz w:val="24"/>
          <w:szCs w:val="24"/>
        </w:rPr>
        <w:t>būvspeciālistam</w:t>
      </w:r>
      <w:proofErr w:type="spellEnd"/>
      <w:r w:rsidRPr="009C0A6E">
        <w:rPr>
          <w:rFonts w:ascii="Times New Roman" w:hAnsi="Times New Roman" w:cs="Times New Roman"/>
          <w:sz w:val="24"/>
          <w:szCs w:val="24"/>
        </w:rPr>
        <w:t xml:space="preserve"> </w:t>
      </w:r>
      <w:r w:rsidR="00697DCB" w:rsidRPr="009C0A6E">
        <w:rPr>
          <w:rFonts w:ascii="Times New Roman" w:hAnsi="Times New Roman" w:cs="Times New Roman"/>
          <w:sz w:val="24"/>
          <w:szCs w:val="24"/>
        </w:rPr>
        <w:t>saskaņā ar sertificēšanas shēmas</w:t>
      </w:r>
      <w:r w:rsidR="005F38ED" w:rsidRPr="009C0A6E">
        <w:rPr>
          <w:rFonts w:ascii="Times New Roman" w:hAnsi="Times New Roman" w:cs="Times New Roman"/>
          <w:sz w:val="24"/>
          <w:szCs w:val="24"/>
        </w:rPr>
        <w:t xml:space="preserve"> 10.1.3.</w:t>
      </w:r>
      <w:r w:rsidR="00DC2943" w:rsidRPr="009C0A6E">
        <w:rPr>
          <w:rFonts w:ascii="Times New Roman" w:hAnsi="Times New Roman" w:cs="Times New Roman"/>
          <w:sz w:val="24"/>
          <w:szCs w:val="24"/>
        </w:rPr>
        <w:t>2</w:t>
      </w:r>
      <w:r w:rsidR="000C3029" w:rsidRPr="009C0A6E">
        <w:rPr>
          <w:rFonts w:ascii="Times New Roman" w:hAnsi="Times New Roman" w:cs="Times New Roman"/>
          <w:sz w:val="24"/>
          <w:szCs w:val="24"/>
        </w:rPr>
        <w:t>.</w:t>
      </w:r>
      <w:r w:rsidR="000E11D3" w:rsidRPr="009C0A6E">
        <w:rPr>
          <w:rFonts w:ascii="Times New Roman" w:hAnsi="Times New Roman" w:cs="Times New Roman"/>
          <w:sz w:val="24"/>
          <w:szCs w:val="24"/>
        </w:rPr>
        <w:t xml:space="preserve"> </w:t>
      </w:r>
      <w:r w:rsidR="000C3029" w:rsidRPr="009C0A6E">
        <w:rPr>
          <w:rFonts w:ascii="Times New Roman" w:hAnsi="Times New Roman" w:cs="Times New Roman"/>
          <w:sz w:val="24"/>
          <w:szCs w:val="24"/>
        </w:rPr>
        <w:t>-</w:t>
      </w:r>
      <w:r w:rsidR="005F38ED" w:rsidRPr="009C0A6E">
        <w:rPr>
          <w:rFonts w:ascii="Times New Roman" w:hAnsi="Times New Roman" w:cs="Times New Roman"/>
          <w:sz w:val="24"/>
          <w:szCs w:val="24"/>
        </w:rPr>
        <w:t xml:space="preserve"> 10.1.3.</w:t>
      </w:r>
      <w:r w:rsidR="000E11D3" w:rsidRPr="009C0A6E">
        <w:rPr>
          <w:rFonts w:ascii="Times New Roman" w:hAnsi="Times New Roman" w:cs="Times New Roman"/>
          <w:sz w:val="24"/>
          <w:szCs w:val="24"/>
        </w:rPr>
        <w:t>5</w:t>
      </w:r>
      <w:r w:rsidR="005F38ED" w:rsidRPr="009C0A6E">
        <w:rPr>
          <w:rFonts w:ascii="Times New Roman" w:hAnsi="Times New Roman" w:cs="Times New Roman"/>
          <w:sz w:val="24"/>
          <w:szCs w:val="24"/>
        </w:rPr>
        <w:t xml:space="preserve">. </w:t>
      </w:r>
      <w:r w:rsidR="00697DCB" w:rsidRPr="009C0A6E">
        <w:rPr>
          <w:rFonts w:ascii="Times New Roman" w:hAnsi="Times New Roman" w:cs="Times New Roman"/>
          <w:sz w:val="24"/>
          <w:szCs w:val="24"/>
        </w:rPr>
        <w:t>apakšpunkt</w:t>
      </w:r>
      <w:r w:rsidR="000C3029" w:rsidRPr="009C0A6E">
        <w:rPr>
          <w:rFonts w:ascii="Times New Roman" w:hAnsi="Times New Roman" w:cs="Times New Roman"/>
          <w:sz w:val="24"/>
          <w:szCs w:val="24"/>
        </w:rPr>
        <w:t>u</w:t>
      </w:r>
      <w:r w:rsidR="00697DCB" w:rsidRPr="009C0A6E">
        <w:rPr>
          <w:rFonts w:ascii="Times New Roman" w:hAnsi="Times New Roman" w:cs="Times New Roman"/>
          <w:sz w:val="24"/>
          <w:szCs w:val="24"/>
        </w:rPr>
        <w:t xml:space="preserve"> vairāk nekā četrus gadus pēdējo piecu gadu laikā ir bijusi apturēta būvprakses sertifikāta darbības sfēra </w:t>
      </w:r>
      <w:r w:rsidRPr="009C0A6E">
        <w:rPr>
          <w:rFonts w:ascii="Times New Roman" w:hAnsi="Times New Roman" w:cs="Times New Roman"/>
          <w:sz w:val="24"/>
          <w:szCs w:val="24"/>
        </w:rPr>
        <w:t>būvuzraudzības specialitātē;</w:t>
      </w:r>
    </w:p>
    <w:p w14:paraId="4AC933C0" w14:textId="0CD918AA" w:rsidR="00C13957" w:rsidRPr="009C0A6E" w:rsidRDefault="00C13957" w:rsidP="00491371">
      <w:pPr>
        <w:pStyle w:val="ListParagraph"/>
        <w:numPr>
          <w:ilvl w:val="3"/>
          <w:numId w:val="1"/>
        </w:numPr>
        <w:ind w:left="1134" w:hanging="861"/>
        <w:jc w:val="both"/>
        <w:rPr>
          <w:rFonts w:ascii="Times New Roman" w:hAnsi="Times New Roman" w:cs="Times New Roman"/>
          <w:sz w:val="24"/>
          <w:szCs w:val="24"/>
        </w:rPr>
      </w:pPr>
      <w:proofErr w:type="spellStart"/>
      <w:r w:rsidRPr="009C0A6E">
        <w:rPr>
          <w:rFonts w:ascii="Times New Roman" w:hAnsi="Times New Roman" w:cs="Times New Roman"/>
          <w:sz w:val="24"/>
          <w:szCs w:val="24"/>
          <w:shd w:val="clear" w:color="auto" w:fill="FFFFFF"/>
        </w:rPr>
        <w:t>būvspeciālistam</w:t>
      </w:r>
      <w:proofErr w:type="spellEnd"/>
      <w:r w:rsidRPr="009C0A6E">
        <w:rPr>
          <w:rFonts w:ascii="Times New Roman" w:hAnsi="Times New Roman" w:cs="Times New Roman"/>
          <w:sz w:val="24"/>
          <w:szCs w:val="24"/>
          <w:shd w:val="clear" w:color="auto" w:fill="FFFFFF"/>
        </w:rPr>
        <w:t xml:space="preserve"> anulēts arhitekta prakses sertifikāts vai būvprakses sertifikāta kāda no attiecīgajām darbības sfērām projektēšanas, būvdarbu vadīšanas vai būvuzraudzības specialitātē.</w:t>
      </w:r>
    </w:p>
    <w:p w14:paraId="7F763DC7" w14:textId="77777777"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par būvprakses sertifikātā norādītās darbības sfēras </w:t>
      </w:r>
      <w:r w:rsidRPr="00AE42CD">
        <w:rPr>
          <w:rFonts w:ascii="Times New Roman" w:eastAsia="Times New Roman" w:hAnsi="Times New Roman" w:cs="Times New Roman"/>
          <w:b/>
          <w:sz w:val="24"/>
          <w:szCs w:val="24"/>
        </w:rPr>
        <w:t>atjaunošanu</w:t>
      </w:r>
      <w:r w:rsidRPr="00174FB3">
        <w:rPr>
          <w:rFonts w:ascii="Times New Roman" w:eastAsia="Times New Roman" w:hAnsi="Times New Roman" w:cs="Times New Roman"/>
          <w:bCs/>
          <w:sz w:val="24"/>
          <w:szCs w:val="24"/>
        </w:rPr>
        <w:t>:</w:t>
      </w:r>
    </w:p>
    <w:p w14:paraId="762CE58A" w14:textId="6537C2D7"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 xml:space="preserve">saņemts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iesniegums par būvprakses sertifikāta darbības sfēras atjaunošanu, ja tas apturēts, pamatojoties uz </w:t>
      </w:r>
      <w:r>
        <w:rPr>
          <w:rFonts w:ascii="Times New Roman" w:hAnsi="Times New Roman" w:cs="Times New Roman"/>
          <w:sz w:val="24"/>
          <w:szCs w:val="24"/>
        </w:rPr>
        <w:t>10.1.3.</w:t>
      </w:r>
      <w:r w:rsidR="005F38ED">
        <w:rPr>
          <w:rFonts w:ascii="Times New Roman" w:hAnsi="Times New Roman" w:cs="Times New Roman"/>
          <w:sz w:val="24"/>
          <w:szCs w:val="24"/>
        </w:rPr>
        <w:t>6</w:t>
      </w:r>
      <w:r>
        <w:rPr>
          <w:rFonts w:ascii="Times New Roman" w:hAnsi="Times New Roman" w:cs="Times New Roman"/>
          <w:sz w:val="24"/>
          <w:szCs w:val="24"/>
        </w:rPr>
        <w:t>.</w:t>
      </w:r>
      <w:r w:rsidR="007E1B53">
        <w:rPr>
          <w:rFonts w:ascii="Times New Roman" w:hAnsi="Times New Roman" w:cs="Times New Roman"/>
          <w:sz w:val="24"/>
          <w:szCs w:val="24"/>
        </w:rPr>
        <w:t xml:space="preserve"> </w:t>
      </w:r>
      <w:r w:rsidRPr="0074638E">
        <w:rPr>
          <w:rFonts w:ascii="Times New Roman" w:hAnsi="Times New Roman" w:cs="Times New Roman"/>
          <w:sz w:val="24"/>
          <w:szCs w:val="24"/>
        </w:rPr>
        <w:t>apakšpunktu</w:t>
      </w:r>
      <w:r>
        <w:rPr>
          <w:rFonts w:ascii="Times New Roman" w:hAnsi="Times New Roman" w:cs="Times New Roman"/>
          <w:sz w:val="24"/>
          <w:szCs w:val="24"/>
        </w:rPr>
        <w:t>;</w:t>
      </w:r>
    </w:p>
    <w:p w14:paraId="336ECEDA" w14:textId="6B491860"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ir ievadījis BIS reģistrā informāciju par kalendārā gadā veikto patstāvīgo praksi un apgūto profesionālās pilnveides programmu</w:t>
      </w:r>
      <w:r>
        <w:rPr>
          <w:rFonts w:ascii="Times New Roman" w:hAnsi="Times New Roman" w:cs="Times New Roman"/>
          <w:sz w:val="24"/>
          <w:szCs w:val="24"/>
        </w:rPr>
        <w:t>;</w:t>
      </w:r>
    </w:p>
    <w:p w14:paraId="3D025471" w14:textId="6E390F16"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ir samaksājis patstāvīgās prakses uzraudzības gada maksu</w:t>
      </w:r>
      <w:r>
        <w:rPr>
          <w:rFonts w:ascii="Times New Roman" w:hAnsi="Times New Roman" w:cs="Times New Roman"/>
          <w:sz w:val="24"/>
          <w:szCs w:val="24"/>
        </w:rPr>
        <w:t>;</w:t>
      </w:r>
    </w:p>
    <w:p w14:paraId="1D6E4553" w14:textId="273A9C0E"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ir sekmīgi nokārtojis</w:t>
      </w:r>
      <w:r>
        <w:rPr>
          <w:rFonts w:ascii="Times New Roman" w:hAnsi="Times New Roman" w:cs="Times New Roman"/>
          <w:sz w:val="24"/>
          <w:szCs w:val="24"/>
        </w:rPr>
        <w:t xml:space="preserve"> </w:t>
      </w:r>
      <w:r w:rsidRPr="00C13957">
        <w:rPr>
          <w:rFonts w:ascii="Times New Roman" w:hAnsi="Times New Roman" w:cs="Times New Roman"/>
          <w:sz w:val="24"/>
          <w:szCs w:val="24"/>
        </w:rPr>
        <w:t>10.1.3.</w:t>
      </w:r>
      <w:r w:rsidR="00C13957" w:rsidRPr="00AE42CD">
        <w:rPr>
          <w:rFonts w:ascii="Times New Roman" w:hAnsi="Times New Roman" w:cs="Times New Roman"/>
          <w:sz w:val="24"/>
          <w:szCs w:val="24"/>
        </w:rPr>
        <w:t>5</w:t>
      </w:r>
      <w:r w:rsidRPr="00C13957">
        <w:rPr>
          <w:rFonts w:ascii="Times New Roman" w:hAnsi="Times New Roman" w:cs="Times New Roman"/>
          <w:sz w:val="24"/>
          <w:szCs w:val="24"/>
        </w:rPr>
        <w:t>.</w:t>
      </w:r>
      <w:r w:rsidR="007E1B53">
        <w:rPr>
          <w:rFonts w:ascii="Times New Roman" w:hAnsi="Times New Roman" w:cs="Times New Roman"/>
          <w:sz w:val="24"/>
          <w:szCs w:val="24"/>
        </w:rPr>
        <w:t xml:space="preserve"> </w:t>
      </w:r>
      <w:r w:rsidRPr="0074638E">
        <w:rPr>
          <w:rFonts w:ascii="Times New Roman" w:hAnsi="Times New Roman" w:cs="Times New Roman"/>
          <w:sz w:val="24"/>
          <w:szCs w:val="24"/>
        </w:rPr>
        <w:t>apakšpunktā noteikto kompetences pārbaudi</w:t>
      </w:r>
      <w:r>
        <w:rPr>
          <w:rFonts w:ascii="Times New Roman" w:hAnsi="Times New Roman" w:cs="Times New Roman"/>
          <w:sz w:val="24"/>
          <w:szCs w:val="24"/>
        </w:rPr>
        <w:t>;</w:t>
      </w:r>
    </w:p>
    <w:p w14:paraId="2A664590" w14:textId="35954504"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būvspeciālists</w:t>
      </w:r>
      <w:proofErr w:type="spellEnd"/>
      <w:r w:rsidRPr="0074638E">
        <w:rPr>
          <w:rFonts w:ascii="Times New Roman" w:hAnsi="Times New Roman" w:cs="Times New Roman"/>
          <w:sz w:val="24"/>
          <w:szCs w:val="24"/>
        </w:rPr>
        <w:t xml:space="preserve"> ir iesniedzis BSN tās pieprasīto informāciju, kas nepieciešama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patstāvīgās prakses izvērtēšanai, nepieciešamajā apjomā un sūdzības izskatīšanas procesā nav konstatēti tādi profesionālās darbības pārkāpumi, ar kuriem saskaņā </w:t>
      </w:r>
      <w:proofErr w:type="spellStart"/>
      <w:r w:rsidRPr="0074638E">
        <w:rPr>
          <w:rFonts w:ascii="Times New Roman" w:hAnsi="Times New Roman" w:cs="Times New Roman"/>
          <w:sz w:val="24"/>
          <w:szCs w:val="24"/>
        </w:rPr>
        <w:t>būvspeciālista</w:t>
      </w:r>
      <w:proofErr w:type="spellEnd"/>
      <w:r w:rsidRPr="0074638E">
        <w:rPr>
          <w:rFonts w:ascii="Times New Roman" w:hAnsi="Times New Roman" w:cs="Times New Roman"/>
          <w:sz w:val="24"/>
          <w:szCs w:val="24"/>
        </w:rPr>
        <w:t xml:space="preserve"> sertifikāta darbība ir jāaptur vai jāanulē</w:t>
      </w:r>
      <w:r>
        <w:rPr>
          <w:rFonts w:ascii="Times New Roman" w:hAnsi="Times New Roman" w:cs="Times New Roman"/>
          <w:sz w:val="24"/>
          <w:szCs w:val="24"/>
        </w:rPr>
        <w:t>;</w:t>
      </w:r>
    </w:p>
    <w:p w14:paraId="308778EF" w14:textId="0E8198C9" w:rsidR="00772B9B" w:rsidRDefault="005E5CF5" w:rsidP="00491371">
      <w:pPr>
        <w:pStyle w:val="ListParagraph"/>
        <w:numPr>
          <w:ilvl w:val="3"/>
          <w:numId w:val="1"/>
        </w:numPr>
        <w:ind w:left="1134" w:hanging="861"/>
        <w:jc w:val="both"/>
        <w:rPr>
          <w:rFonts w:ascii="Times New Roman" w:hAnsi="Times New Roman" w:cs="Times New Roman"/>
          <w:sz w:val="24"/>
          <w:szCs w:val="24"/>
        </w:rPr>
      </w:pPr>
      <w:proofErr w:type="spellStart"/>
      <w:r w:rsidRPr="0074638E">
        <w:rPr>
          <w:rFonts w:ascii="Times New Roman" w:hAnsi="Times New Roman" w:cs="Times New Roman"/>
          <w:sz w:val="24"/>
          <w:szCs w:val="24"/>
        </w:rPr>
        <w:t>būvspeciālistam</w:t>
      </w:r>
      <w:proofErr w:type="spellEnd"/>
      <w:r w:rsidRPr="0074638E">
        <w:rPr>
          <w:rFonts w:ascii="Times New Roman" w:hAnsi="Times New Roman" w:cs="Times New Roman"/>
          <w:sz w:val="24"/>
          <w:szCs w:val="24"/>
        </w:rPr>
        <w:t xml:space="preserve"> atjaunota arhitekta prakses sertifikāta vai būvprakses sertifikāta darbība attiecīgajā darbības sfērā projektēšanas, būvdarbu vadīšanas vai būvuzraudzības specialitātē saskaņā ar </w:t>
      </w:r>
      <w:r>
        <w:rPr>
          <w:rFonts w:ascii="Times New Roman" w:hAnsi="Times New Roman" w:cs="Times New Roman"/>
          <w:sz w:val="24"/>
          <w:szCs w:val="24"/>
        </w:rPr>
        <w:t>10.1.4.7</w:t>
      </w:r>
      <w:r w:rsidR="00491371">
        <w:rPr>
          <w:rFonts w:ascii="Times New Roman" w:hAnsi="Times New Roman" w:cs="Times New Roman"/>
          <w:sz w:val="24"/>
          <w:szCs w:val="24"/>
        </w:rPr>
        <w:t>.</w:t>
      </w:r>
      <w:r w:rsidR="007E1B53">
        <w:rPr>
          <w:rFonts w:ascii="Times New Roman" w:hAnsi="Times New Roman" w:cs="Times New Roman"/>
          <w:sz w:val="24"/>
          <w:szCs w:val="24"/>
        </w:rPr>
        <w:t xml:space="preserve"> </w:t>
      </w:r>
      <w:r w:rsidRPr="0074638E">
        <w:rPr>
          <w:rFonts w:ascii="Times New Roman" w:hAnsi="Times New Roman" w:cs="Times New Roman"/>
          <w:sz w:val="24"/>
          <w:szCs w:val="24"/>
        </w:rPr>
        <w:t>apakšpunktu</w:t>
      </w:r>
      <w:r>
        <w:rPr>
          <w:rFonts w:ascii="Times New Roman" w:hAnsi="Times New Roman" w:cs="Times New Roman"/>
          <w:sz w:val="24"/>
          <w:szCs w:val="24"/>
        </w:rPr>
        <w:t>;</w:t>
      </w:r>
    </w:p>
    <w:p w14:paraId="58373793" w14:textId="30649515"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Pr>
          <w:rFonts w:ascii="Times New Roman" w:hAnsi="Times New Roman" w:cs="Times New Roman"/>
          <w:sz w:val="24"/>
          <w:szCs w:val="24"/>
        </w:rPr>
        <w:t xml:space="preserve">stājies spēkā attaisnojošs spriedums attiecībā uz </w:t>
      </w:r>
      <w:proofErr w:type="spellStart"/>
      <w:r>
        <w:rPr>
          <w:rFonts w:ascii="Times New Roman" w:hAnsi="Times New Roman" w:cs="Times New Roman"/>
          <w:sz w:val="24"/>
          <w:szCs w:val="24"/>
        </w:rPr>
        <w:t>būvspeciālistu</w:t>
      </w:r>
      <w:proofErr w:type="spellEnd"/>
      <w:r>
        <w:rPr>
          <w:rFonts w:ascii="Times New Roman" w:hAnsi="Times New Roman" w:cs="Times New Roman"/>
          <w:sz w:val="24"/>
          <w:szCs w:val="24"/>
        </w:rPr>
        <w:t xml:space="preserve"> vai lēmums par kriminālprocesa izbeigšanu, ja sertifikāts vai darbības sfēra bija apturēta saskaņā ar 10.1.3.1.apakšpunktu.</w:t>
      </w:r>
    </w:p>
    <w:p w14:paraId="595BD892" w14:textId="1CCF0660" w:rsidR="00772B9B" w:rsidRPr="0074638E" w:rsidRDefault="005E5CF5" w:rsidP="00491371">
      <w:pPr>
        <w:pStyle w:val="ListParagraph"/>
        <w:numPr>
          <w:ilvl w:val="3"/>
          <w:numId w:val="1"/>
        </w:numPr>
        <w:ind w:left="1134" w:hanging="861"/>
        <w:jc w:val="both"/>
        <w:rPr>
          <w:rFonts w:ascii="Times New Roman" w:hAnsi="Times New Roman" w:cs="Times New Roman"/>
          <w:sz w:val="24"/>
          <w:szCs w:val="24"/>
        </w:rPr>
      </w:pPr>
      <w:r w:rsidRPr="0074638E">
        <w:rPr>
          <w:rFonts w:ascii="Times New Roman" w:hAnsi="Times New Roman" w:cs="Times New Roman"/>
          <w:sz w:val="24"/>
          <w:szCs w:val="24"/>
        </w:rPr>
        <w:t xml:space="preserve">BSN var pieņemt lēmumu par  būvekspertīzes specialitātes darbības sfēras atjaunošanu piecus gadus pēc arhitekta prakses sertifikāta vai būvprakses sertifikāta attiecīgās darbības sfēras projektēšanas, būvdarbu vadīšanas vai būvuzraudzības specialitātē atjaunošanas, ja tā bijusi apturēta saskaņā ar </w:t>
      </w:r>
      <w:r w:rsidR="00C83433" w:rsidRPr="00C83433">
        <w:rPr>
          <w:rFonts w:ascii="Times New Roman" w:hAnsi="Times New Roman" w:cs="Times New Roman"/>
          <w:sz w:val="24"/>
          <w:szCs w:val="24"/>
        </w:rPr>
        <w:t>10.1.4.1.</w:t>
      </w:r>
      <w:r>
        <w:rPr>
          <w:rFonts w:ascii="Times New Roman" w:hAnsi="Times New Roman" w:cs="Times New Roman"/>
          <w:sz w:val="24"/>
          <w:szCs w:val="24"/>
        </w:rPr>
        <w:t>, 10.1.4.2., 10.1.4.3., 10.1.4.4. vai 10.1.4.7</w:t>
      </w:r>
      <w:r w:rsidRPr="0074638E">
        <w:rPr>
          <w:rFonts w:ascii="Times New Roman" w:hAnsi="Times New Roman" w:cs="Times New Roman"/>
          <w:sz w:val="24"/>
          <w:szCs w:val="24"/>
        </w:rPr>
        <w:t>.</w:t>
      </w:r>
      <w:r w:rsidR="007E1B53">
        <w:rPr>
          <w:rFonts w:ascii="Times New Roman" w:hAnsi="Times New Roman" w:cs="Times New Roman"/>
          <w:sz w:val="24"/>
          <w:szCs w:val="24"/>
        </w:rPr>
        <w:t xml:space="preserve"> </w:t>
      </w:r>
      <w:r w:rsidRPr="0074638E">
        <w:rPr>
          <w:rFonts w:ascii="Times New Roman" w:hAnsi="Times New Roman" w:cs="Times New Roman"/>
          <w:sz w:val="24"/>
          <w:szCs w:val="24"/>
        </w:rPr>
        <w:t>apakšpunktu.</w:t>
      </w:r>
    </w:p>
    <w:p w14:paraId="33902E89" w14:textId="77777777" w:rsidR="00772B9B" w:rsidRPr="00B979C8" w:rsidRDefault="005E5CF5" w:rsidP="00174FB3">
      <w:pPr>
        <w:pStyle w:val="ListParagraph"/>
        <w:numPr>
          <w:ilvl w:val="2"/>
          <w:numId w:val="1"/>
        </w:numPr>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Pieņemto lēmumu BSN vadītājs paraksta ar drošu elektronisko parakstu un reģistrē BIS attiecīgajā lēmumu sadaļā.</w:t>
      </w:r>
    </w:p>
    <w:p w14:paraId="3D55FAE9" w14:textId="77777777" w:rsidR="00772B9B" w:rsidRPr="00B979C8" w:rsidRDefault="005E5CF5" w:rsidP="00174FB3">
      <w:pPr>
        <w:pStyle w:val="ListParagraph"/>
        <w:numPr>
          <w:ilvl w:val="2"/>
          <w:numId w:val="1"/>
        </w:numPr>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lastRenderedPageBreak/>
        <w:t xml:space="preserve">BSN pieņemtos lēmumus attiecībā uz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kompetences novērtēšanu un patstāvīgās prakses uzraudzību būvekspertīzes specialitātē var apstrīdēt un pārsūdzēt Biroja nolikumā noteiktajā kārtībā.</w:t>
      </w:r>
    </w:p>
    <w:p w14:paraId="26879EE1" w14:textId="77777777" w:rsidR="00772B9B" w:rsidRPr="003C4960" w:rsidRDefault="00772B9B" w:rsidP="00772B9B">
      <w:pPr>
        <w:spacing w:after="0"/>
        <w:ind w:left="597" w:hanging="567"/>
        <w:jc w:val="both"/>
        <w:rPr>
          <w:rFonts w:ascii="Times New Roman" w:hAnsi="Times New Roman" w:cs="Times New Roman"/>
          <w:sz w:val="24"/>
          <w:szCs w:val="24"/>
          <w:lang w:eastAsia="lv-LV"/>
        </w:rPr>
      </w:pPr>
    </w:p>
    <w:p w14:paraId="3BE6D63C" w14:textId="77777777" w:rsidR="00772B9B" w:rsidRDefault="005E5CF5" w:rsidP="00EB2638">
      <w:pPr>
        <w:pStyle w:val="ListParagraph"/>
        <w:numPr>
          <w:ilvl w:val="0"/>
          <w:numId w:val="1"/>
        </w:numPr>
        <w:jc w:val="both"/>
        <w:rPr>
          <w:rFonts w:ascii="Times New Roman" w:hAnsi="Times New Roman" w:cs="Times New Roman"/>
          <w:b/>
          <w:sz w:val="24"/>
          <w:szCs w:val="24"/>
        </w:rPr>
      </w:pPr>
      <w:r w:rsidRPr="00764D3B">
        <w:rPr>
          <w:rFonts w:ascii="Times New Roman" w:hAnsi="Times New Roman" w:cs="Times New Roman"/>
          <w:b/>
          <w:sz w:val="24"/>
          <w:szCs w:val="24"/>
        </w:rPr>
        <w:t xml:space="preserve">Sūdzību un apelāciju izskatīšana </w:t>
      </w:r>
    </w:p>
    <w:p w14:paraId="21B593FD" w14:textId="71CCAAEA" w:rsidR="00772B9B" w:rsidRPr="00764D3B" w:rsidRDefault="005E5CF5" w:rsidP="00486CAD">
      <w:pPr>
        <w:pStyle w:val="ListParagraph"/>
        <w:numPr>
          <w:ilvl w:val="1"/>
          <w:numId w:val="1"/>
        </w:numPr>
        <w:ind w:left="567" w:hanging="567"/>
        <w:jc w:val="both"/>
        <w:rPr>
          <w:rFonts w:ascii="Times New Roman" w:hAnsi="Times New Roman" w:cs="Times New Roman"/>
          <w:sz w:val="24"/>
          <w:szCs w:val="24"/>
        </w:rPr>
      </w:pPr>
      <w:r w:rsidRPr="00B979C8">
        <w:rPr>
          <w:rFonts w:ascii="Times New Roman" w:eastAsia="Times New Roman" w:hAnsi="Times New Roman" w:cs="Times New Roman"/>
          <w:bCs/>
          <w:sz w:val="24"/>
          <w:szCs w:val="24"/>
        </w:rPr>
        <w:t>Sūdzību</w:t>
      </w:r>
      <w:r w:rsidRPr="00764D3B">
        <w:rPr>
          <w:rFonts w:ascii="Times New Roman" w:hAnsi="Times New Roman" w:cs="Times New Roman"/>
          <w:sz w:val="24"/>
          <w:szCs w:val="24"/>
        </w:rPr>
        <w:t xml:space="preserve"> un apelāciju saņemšanas un izskatīšanas kārtība attiecībā uz </w:t>
      </w:r>
      <w:proofErr w:type="spellStart"/>
      <w:r w:rsidRPr="00764D3B">
        <w:rPr>
          <w:rFonts w:ascii="Times New Roman" w:hAnsi="Times New Roman" w:cs="Times New Roman"/>
          <w:sz w:val="24"/>
          <w:szCs w:val="24"/>
        </w:rPr>
        <w:t>būvspeciālista</w:t>
      </w:r>
      <w:proofErr w:type="spellEnd"/>
      <w:r w:rsidRPr="00764D3B">
        <w:rPr>
          <w:rFonts w:ascii="Times New Roman" w:hAnsi="Times New Roman" w:cs="Times New Roman"/>
          <w:sz w:val="24"/>
          <w:szCs w:val="24"/>
        </w:rPr>
        <w:t xml:space="preserve"> profesionālās darbības un profesionālās ētikas pārkāpumiem, kā arī </w:t>
      </w:r>
      <w:r w:rsidRPr="00764D3B">
        <w:rPr>
          <w:rFonts w:ascii="Times New Roman" w:hAnsi="Times New Roman" w:cs="Times New Roman"/>
          <w:sz w:val="24"/>
          <w:szCs w:val="24"/>
          <w:lang w:eastAsia="lv-LV"/>
        </w:rPr>
        <w:t>sertifikācijas pakalpojuma sniegšanas kārtību vai sertifikācijas procesā iesaistītā personāla rīcību</w:t>
      </w:r>
      <w:r w:rsidRPr="00764D3B">
        <w:rPr>
          <w:rFonts w:ascii="Times New Roman" w:hAnsi="Times New Roman" w:cs="Times New Roman"/>
          <w:sz w:val="24"/>
          <w:szCs w:val="24"/>
        </w:rPr>
        <w:t xml:space="preserve"> ir noteikta </w:t>
      </w:r>
      <w:proofErr w:type="spellStart"/>
      <w:r w:rsidRPr="00764D3B">
        <w:rPr>
          <w:rFonts w:ascii="Times New Roman" w:hAnsi="Times New Roman" w:cs="Times New Roman"/>
          <w:sz w:val="24"/>
          <w:szCs w:val="24"/>
        </w:rPr>
        <w:t>apakšprocesā</w:t>
      </w:r>
      <w:proofErr w:type="spellEnd"/>
      <w:r w:rsidRPr="00764D3B">
        <w:rPr>
          <w:rFonts w:ascii="Times New Roman" w:hAnsi="Times New Roman" w:cs="Times New Roman"/>
          <w:sz w:val="24"/>
          <w:szCs w:val="24"/>
        </w:rPr>
        <w:t xml:space="preserve"> </w:t>
      </w:r>
      <w:r w:rsidR="008B72F6">
        <w:rPr>
          <w:rFonts w:ascii="Times New Roman" w:hAnsi="Times New Roman" w:cs="Times New Roman"/>
          <w:sz w:val="24"/>
          <w:szCs w:val="24"/>
        </w:rPr>
        <w:t>“</w:t>
      </w:r>
      <w:r w:rsidRPr="00764D3B">
        <w:rPr>
          <w:rFonts w:ascii="Times New Roman" w:hAnsi="Times New Roman" w:cs="Times New Roman"/>
          <w:sz w:val="24"/>
          <w:szCs w:val="24"/>
        </w:rPr>
        <w:t>PP.BVS.Nr.5 Sūdzību izskatīšana</w:t>
      </w:r>
      <w:r w:rsidR="00AB127D">
        <w:rPr>
          <w:rFonts w:ascii="Times New Roman" w:hAnsi="Times New Roman" w:cs="Times New Roman"/>
          <w:sz w:val="24"/>
          <w:szCs w:val="24"/>
        </w:rPr>
        <w:t xml:space="preserve"> un lēmum</w:t>
      </w:r>
      <w:r w:rsidR="00DB195D">
        <w:rPr>
          <w:rFonts w:ascii="Times New Roman" w:hAnsi="Times New Roman" w:cs="Times New Roman"/>
          <w:sz w:val="24"/>
          <w:szCs w:val="24"/>
        </w:rPr>
        <w:t>u</w:t>
      </w:r>
      <w:r w:rsidR="00AB127D">
        <w:rPr>
          <w:rFonts w:ascii="Times New Roman" w:hAnsi="Times New Roman" w:cs="Times New Roman"/>
          <w:sz w:val="24"/>
          <w:szCs w:val="24"/>
        </w:rPr>
        <w:t xml:space="preserve"> apstrīdēšana</w:t>
      </w:r>
      <w:r w:rsidRPr="00764D3B">
        <w:rPr>
          <w:rFonts w:ascii="Times New Roman" w:hAnsi="Times New Roman" w:cs="Times New Roman"/>
          <w:sz w:val="24"/>
          <w:szCs w:val="24"/>
        </w:rPr>
        <w:t>”.</w:t>
      </w:r>
    </w:p>
    <w:p w14:paraId="4DFB22BB" w14:textId="77777777"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r w:rsidRPr="00B979C8">
        <w:rPr>
          <w:rFonts w:ascii="Times New Roman" w:eastAsia="Times New Roman" w:hAnsi="Times New Roman" w:cs="Times New Roman"/>
          <w:bCs/>
          <w:sz w:val="24"/>
          <w:szCs w:val="24"/>
        </w:rPr>
        <w:t xml:space="preserve">BSN pieņemtos lēmumus attiecībā uz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kompetences novērtēšanu un patstāvīgās prakses uzraudzību būvekspertīzes specialitātē var apstrīdēt un pārsūdzēt Biroja nolikumā noteiktajā kārtībā.</w:t>
      </w:r>
    </w:p>
    <w:p w14:paraId="0C6A9B54" w14:textId="592EC7F1" w:rsidR="00EB6515" w:rsidRDefault="005E5CF5" w:rsidP="00AC05BB">
      <w:pPr>
        <w:pStyle w:val="ListParagraph"/>
        <w:numPr>
          <w:ilvl w:val="1"/>
          <w:numId w:val="1"/>
        </w:numPr>
        <w:ind w:left="567" w:hanging="567"/>
        <w:jc w:val="both"/>
        <w:rPr>
          <w:rFonts w:ascii="Times New Roman" w:hAnsi="Times New Roman" w:cs="Times New Roman"/>
          <w:sz w:val="24"/>
          <w:szCs w:val="24"/>
          <w:lang w:eastAsia="lv-LV"/>
        </w:rPr>
      </w:pPr>
      <w:r w:rsidRPr="00B979C8">
        <w:rPr>
          <w:rFonts w:ascii="Times New Roman" w:eastAsia="Times New Roman" w:hAnsi="Times New Roman" w:cs="Times New Roman"/>
          <w:bCs/>
          <w:sz w:val="24"/>
          <w:szCs w:val="24"/>
        </w:rPr>
        <w:t>Biroja pieņemtos lēmumus var apstrīdēt un pārsūdzēt Administratīvā procesa likumā noteiktajā</w:t>
      </w:r>
      <w:r w:rsidRPr="00764D3B">
        <w:rPr>
          <w:rFonts w:ascii="Times New Roman" w:hAnsi="Times New Roman" w:cs="Times New Roman"/>
          <w:sz w:val="24"/>
          <w:szCs w:val="24"/>
          <w:lang w:eastAsia="lv-LV"/>
        </w:rPr>
        <w:t xml:space="preserve"> kārtībā.</w:t>
      </w:r>
    </w:p>
    <w:p w14:paraId="72B9423D" w14:textId="77777777" w:rsidR="00AC05BB" w:rsidRPr="00AC05BB" w:rsidRDefault="00AC05BB" w:rsidP="00AC05BB">
      <w:pPr>
        <w:pStyle w:val="ListParagraph"/>
        <w:ind w:left="567"/>
        <w:jc w:val="both"/>
        <w:rPr>
          <w:rFonts w:ascii="Times New Roman" w:hAnsi="Times New Roman" w:cs="Times New Roman"/>
          <w:sz w:val="24"/>
          <w:szCs w:val="24"/>
          <w:lang w:eastAsia="lv-LV"/>
        </w:rPr>
      </w:pPr>
    </w:p>
    <w:p w14:paraId="70D58BA7" w14:textId="77777777" w:rsidR="00772B9B" w:rsidRPr="0074638E" w:rsidRDefault="005E5CF5" w:rsidP="00EB2638">
      <w:pPr>
        <w:pStyle w:val="ListParagraph"/>
        <w:numPr>
          <w:ilvl w:val="0"/>
          <w:numId w:val="1"/>
        </w:numPr>
        <w:jc w:val="both"/>
        <w:rPr>
          <w:rFonts w:ascii="Times New Roman" w:hAnsi="Times New Roman" w:cs="Times New Roman"/>
          <w:b/>
          <w:sz w:val="24"/>
          <w:szCs w:val="24"/>
        </w:rPr>
      </w:pPr>
      <w:r w:rsidRPr="00EB2638">
        <w:rPr>
          <w:rFonts w:ascii="Times New Roman" w:hAnsi="Times New Roman" w:cs="Times New Roman"/>
          <w:b/>
          <w:sz w:val="24"/>
          <w:szCs w:val="24"/>
        </w:rPr>
        <w:t>Sertificēšanas pakalpojumu maksas apmērs, maksāšanas un saņemto līdzekļu izmantošanas kārtība</w:t>
      </w:r>
    </w:p>
    <w:p w14:paraId="4B5B70F7" w14:textId="2903D380" w:rsidR="00772B9B" w:rsidRPr="00B979C8"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bookmarkStart w:id="11" w:name="p50"/>
      <w:bookmarkStart w:id="12" w:name="p-530669"/>
      <w:bookmarkEnd w:id="11"/>
      <w:bookmarkEnd w:id="12"/>
      <w:r w:rsidRPr="00B979C8">
        <w:rPr>
          <w:rFonts w:ascii="Times New Roman" w:eastAsia="Times New Roman" w:hAnsi="Times New Roman" w:cs="Times New Roman"/>
          <w:bCs/>
          <w:sz w:val="24"/>
          <w:szCs w:val="24"/>
        </w:rPr>
        <w:t>Sertificēšanas pakalpojumu maksa sastāv no:</w:t>
      </w:r>
    </w:p>
    <w:p w14:paraId="0E0991C5" w14:textId="5DF58663" w:rsidR="00772B9B" w:rsidRPr="00174FB3" w:rsidRDefault="005E5CF5" w:rsidP="00174FB3">
      <w:pPr>
        <w:pStyle w:val="ListParagraph"/>
        <w:numPr>
          <w:ilvl w:val="2"/>
          <w:numId w:val="1"/>
        </w:numPr>
        <w:jc w:val="both"/>
        <w:rPr>
          <w:rFonts w:ascii="Times New Roman" w:eastAsia="Times New Roman" w:hAnsi="Times New Roman" w:cs="Times New Roman"/>
          <w:bCs/>
          <w:sz w:val="24"/>
          <w:szCs w:val="24"/>
        </w:rPr>
      </w:pPr>
      <w:r w:rsidRPr="00174FB3">
        <w:rPr>
          <w:rFonts w:ascii="Times New Roman" w:eastAsia="Times New Roman" w:hAnsi="Times New Roman" w:cs="Times New Roman"/>
          <w:bCs/>
          <w:sz w:val="24"/>
          <w:szCs w:val="24"/>
        </w:rPr>
        <w:t xml:space="preserve">maksas par pirmreizējo kompetences novērtēšanu </w:t>
      </w:r>
      <w:proofErr w:type="spellStart"/>
      <w:r w:rsidRPr="00174FB3">
        <w:rPr>
          <w:rFonts w:ascii="Times New Roman" w:eastAsia="Times New Roman" w:hAnsi="Times New Roman" w:cs="Times New Roman"/>
          <w:bCs/>
          <w:sz w:val="24"/>
          <w:szCs w:val="24"/>
        </w:rPr>
        <w:t>būvspeciālista</w:t>
      </w:r>
      <w:proofErr w:type="spellEnd"/>
      <w:r w:rsidRPr="00174FB3">
        <w:rPr>
          <w:rFonts w:ascii="Times New Roman" w:eastAsia="Times New Roman" w:hAnsi="Times New Roman" w:cs="Times New Roman"/>
          <w:bCs/>
          <w:sz w:val="24"/>
          <w:szCs w:val="24"/>
        </w:rPr>
        <w:t xml:space="preserve"> sertifikāta saņemšanai 150 EUR</w:t>
      </w:r>
      <w:r w:rsidR="00C83433">
        <w:rPr>
          <w:rFonts w:ascii="Times New Roman" w:eastAsia="Times New Roman" w:hAnsi="Times New Roman" w:cs="Times New Roman"/>
          <w:bCs/>
          <w:sz w:val="24"/>
          <w:szCs w:val="24"/>
        </w:rPr>
        <w:t xml:space="preserve"> </w:t>
      </w:r>
      <w:r w:rsidRPr="00174FB3">
        <w:rPr>
          <w:rFonts w:ascii="Times New Roman" w:eastAsia="Times New Roman" w:hAnsi="Times New Roman" w:cs="Times New Roman"/>
          <w:bCs/>
          <w:sz w:val="24"/>
          <w:szCs w:val="24"/>
        </w:rPr>
        <w:t>apmērā;</w:t>
      </w:r>
    </w:p>
    <w:p w14:paraId="2029E479" w14:textId="1835DAC9"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patstāvīgās prakses uzraudzības gada maksas </w:t>
      </w:r>
      <w:r w:rsidR="00FD4B40" w:rsidRPr="009C0A6E">
        <w:rPr>
          <w:rFonts w:ascii="Times New Roman" w:eastAsia="Times New Roman" w:hAnsi="Times New Roman" w:cs="Times New Roman"/>
          <w:bCs/>
          <w:sz w:val="24"/>
          <w:szCs w:val="24"/>
        </w:rPr>
        <w:t>213</w:t>
      </w:r>
      <w:r w:rsidR="00C83433" w:rsidRPr="009C0A6E">
        <w:rPr>
          <w:rFonts w:ascii="Times New Roman" w:eastAsia="Times New Roman" w:hAnsi="Times New Roman" w:cs="Times New Roman"/>
          <w:bCs/>
          <w:sz w:val="24"/>
          <w:szCs w:val="24"/>
        </w:rPr>
        <w:t> </w:t>
      </w:r>
      <w:r w:rsidRPr="009C0A6E">
        <w:rPr>
          <w:rFonts w:ascii="Times New Roman" w:eastAsia="Times New Roman" w:hAnsi="Times New Roman" w:cs="Times New Roman"/>
          <w:bCs/>
          <w:sz w:val="24"/>
          <w:szCs w:val="24"/>
        </w:rPr>
        <w:t>EUR apmērā;</w:t>
      </w:r>
    </w:p>
    <w:p w14:paraId="022EA863" w14:textId="222F59AB" w:rsidR="00772B9B" w:rsidRPr="009C0A6E" w:rsidRDefault="005E5CF5" w:rsidP="00174FB3">
      <w:pPr>
        <w:pStyle w:val="ListParagraph"/>
        <w:numPr>
          <w:ilvl w:val="2"/>
          <w:numId w:val="1"/>
        </w:numPr>
        <w:jc w:val="both"/>
        <w:rPr>
          <w:rFonts w:ascii="Times New Roman" w:eastAsia="Times New Roman" w:hAnsi="Times New Roman" w:cs="Times New Roman"/>
          <w:bCs/>
          <w:sz w:val="24"/>
          <w:szCs w:val="24"/>
        </w:rPr>
      </w:pPr>
      <w:r w:rsidRPr="009C0A6E">
        <w:rPr>
          <w:rFonts w:ascii="Times New Roman" w:eastAsia="Times New Roman" w:hAnsi="Times New Roman" w:cs="Times New Roman"/>
          <w:bCs/>
          <w:sz w:val="24"/>
          <w:szCs w:val="24"/>
        </w:rPr>
        <w:t xml:space="preserve">maksas par papildu sertificēšanas pakalpojumiem </w:t>
      </w:r>
      <w:r w:rsidR="00D04240" w:rsidRPr="009C0A6E">
        <w:rPr>
          <w:rFonts w:ascii="Times New Roman" w:eastAsia="Times New Roman" w:hAnsi="Times New Roman" w:cs="Times New Roman"/>
          <w:bCs/>
          <w:sz w:val="24"/>
          <w:szCs w:val="24"/>
        </w:rPr>
        <w:t>308</w:t>
      </w:r>
      <w:r w:rsidR="009B0534" w:rsidRPr="009C0A6E">
        <w:rPr>
          <w:rFonts w:ascii="Times New Roman" w:eastAsia="Times New Roman" w:hAnsi="Times New Roman" w:cs="Times New Roman"/>
          <w:bCs/>
          <w:sz w:val="24"/>
          <w:szCs w:val="24"/>
        </w:rPr>
        <w:t xml:space="preserve"> </w:t>
      </w:r>
      <w:r w:rsidR="00D04240" w:rsidRPr="009C0A6E">
        <w:rPr>
          <w:rFonts w:ascii="Times New Roman" w:eastAsia="Times New Roman" w:hAnsi="Times New Roman" w:cs="Times New Roman"/>
          <w:bCs/>
          <w:sz w:val="24"/>
          <w:szCs w:val="24"/>
        </w:rPr>
        <w:t xml:space="preserve">EUR apmērā attiecībā uz atkārtotu </w:t>
      </w:r>
      <w:r w:rsidR="00D04240" w:rsidRPr="009C0A6E">
        <w:rPr>
          <w:rFonts w:ascii="Times New Roman" w:hAnsi="Times New Roman" w:cs="Times New Roman"/>
          <w:sz w:val="24"/>
          <w:szCs w:val="24"/>
          <w:shd w:val="clear" w:color="auto" w:fill="FFFFFF"/>
        </w:rPr>
        <w:t xml:space="preserve">kompetenču, prasmju un zināšanu līmeņa novērtēšanu 10.1.2. </w:t>
      </w:r>
      <w:r w:rsidR="003A03B9" w:rsidRPr="009C0A6E">
        <w:rPr>
          <w:rFonts w:ascii="Times New Roman" w:hAnsi="Times New Roman" w:cs="Times New Roman"/>
          <w:sz w:val="24"/>
          <w:szCs w:val="24"/>
          <w:shd w:val="clear" w:color="auto" w:fill="FFFFFF"/>
        </w:rPr>
        <w:t>apakš</w:t>
      </w:r>
      <w:r w:rsidR="00D04240" w:rsidRPr="009C0A6E">
        <w:rPr>
          <w:rFonts w:ascii="Times New Roman" w:hAnsi="Times New Roman" w:cs="Times New Roman"/>
          <w:sz w:val="24"/>
          <w:szCs w:val="24"/>
          <w:shd w:val="clear" w:color="auto" w:fill="FFFFFF"/>
        </w:rPr>
        <w:t>punktā noteiktajos gadījumos</w:t>
      </w:r>
      <w:r w:rsidR="00D04240" w:rsidRPr="009C0A6E">
        <w:rPr>
          <w:rFonts w:ascii="Times New Roman" w:eastAsia="Times New Roman" w:hAnsi="Times New Roman" w:cs="Times New Roman"/>
          <w:bCs/>
          <w:sz w:val="24"/>
          <w:szCs w:val="24"/>
        </w:rPr>
        <w:t>.</w:t>
      </w:r>
    </w:p>
    <w:p w14:paraId="52FE9ACE" w14:textId="77777777" w:rsidR="00772B9B" w:rsidRDefault="005E5CF5" w:rsidP="00486CAD">
      <w:pPr>
        <w:pStyle w:val="ListParagraph"/>
        <w:numPr>
          <w:ilvl w:val="1"/>
          <w:numId w:val="1"/>
        </w:numPr>
        <w:ind w:left="567" w:hanging="567"/>
        <w:jc w:val="both"/>
        <w:rPr>
          <w:rFonts w:ascii="Times New Roman" w:eastAsia="Times New Roman" w:hAnsi="Times New Roman" w:cs="Times New Roman"/>
          <w:bCs/>
          <w:sz w:val="24"/>
          <w:szCs w:val="24"/>
        </w:rPr>
      </w:pPr>
      <w:bookmarkStart w:id="13" w:name="p51"/>
      <w:bookmarkStart w:id="14" w:name="p-530670"/>
      <w:bookmarkStart w:id="15" w:name="p52"/>
      <w:bookmarkStart w:id="16" w:name="p-530671"/>
      <w:bookmarkEnd w:id="13"/>
      <w:bookmarkEnd w:id="14"/>
      <w:bookmarkEnd w:id="15"/>
      <w:bookmarkEnd w:id="16"/>
      <w:r w:rsidRPr="00B979C8">
        <w:rPr>
          <w:rFonts w:ascii="Times New Roman" w:eastAsia="Times New Roman" w:hAnsi="Times New Roman" w:cs="Times New Roman"/>
          <w:bCs/>
          <w:sz w:val="24"/>
          <w:szCs w:val="24"/>
        </w:rPr>
        <w:t xml:space="preserve">Par sertificēšanas pakalpojumiem saņemtos līdzekļus BSN izmanto kompetences novērtēšanas procesa un </w:t>
      </w:r>
      <w:proofErr w:type="spellStart"/>
      <w:r w:rsidRPr="00B979C8">
        <w:rPr>
          <w:rFonts w:ascii="Times New Roman" w:eastAsia="Times New Roman" w:hAnsi="Times New Roman" w:cs="Times New Roman"/>
          <w:bCs/>
          <w:sz w:val="24"/>
          <w:szCs w:val="24"/>
        </w:rPr>
        <w:t>būvspeciālistu</w:t>
      </w:r>
      <w:proofErr w:type="spellEnd"/>
      <w:r w:rsidRPr="00B979C8">
        <w:rPr>
          <w:rFonts w:ascii="Times New Roman" w:eastAsia="Times New Roman" w:hAnsi="Times New Roman" w:cs="Times New Roman"/>
          <w:bCs/>
          <w:sz w:val="24"/>
          <w:szCs w:val="24"/>
        </w:rPr>
        <w:t xml:space="preserve"> patstāvīgās prakses uzraudzības nodrošināšanai.</w:t>
      </w:r>
      <w:bookmarkStart w:id="17" w:name="n9"/>
      <w:bookmarkStart w:id="18" w:name="p56"/>
      <w:bookmarkStart w:id="19" w:name="p-530676"/>
      <w:bookmarkEnd w:id="17"/>
      <w:bookmarkEnd w:id="18"/>
      <w:bookmarkEnd w:id="19"/>
    </w:p>
    <w:p w14:paraId="229EFC74" w14:textId="77777777" w:rsidR="00B979C8" w:rsidRPr="00B979C8" w:rsidRDefault="00B979C8" w:rsidP="00B979C8">
      <w:pPr>
        <w:pStyle w:val="ListParagraph"/>
        <w:ind w:left="456"/>
        <w:jc w:val="both"/>
        <w:rPr>
          <w:rFonts w:ascii="Times New Roman" w:eastAsia="Times New Roman" w:hAnsi="Times New Roman" w:cs="Times New Roman"/>
          <w:bCs/>
          <w:sz w:val="24"/>
          <w:szCs w:val="24"/>
        </w:rPr>
      </w:pPr>
    </w:p>
    <w:tbl>
      <w:tblPr>
        <w:tblStyle w:val="TableGrid"/>
        <w:tblpPr w:leftFromText="181" w:rightFromText="181" w:vertAnchor="text" w:horzAnchor="margin" w:tblpX="-10" w:tblpY="18"/>
        <w:tblW w:w="5003" w:type="pct"/>
        <w:tblLayout w:type="fixed"/>
        <w:tblLook w:val="0600" w:firstRow="0" w:lastRow="0" w:firstColumn="0" w:lastColumn="0" w:noHBand="1" w:noVBand="1"/>
      </w:tblPr>
      <w:tblGrid>
        <w:gridCol w:w="1079"/>
        <w:gridCol w:w="5153"/>
        <w:gridCol w:w="2834"/>
      </w:tblGrid>
      <w:tr w:rsidR="00A76D4F" w14:paraId="40EEA2C7" w14:textId="77777777" w:rsidTr="00FB781C">
        <w:trPr>
          <w:trHeight w:val="274"/>
        </w:trPr>
        <w:tc>
          <w:tcPr>
            <w:tcW w:w="595" w:type="pct"/>
            <w:shd w:val="clear" w:color="auto" w:fill="F2F2F2" w:themeFill="background1" w:themeFillShade="F2"/>
            <w:vAlign w:val="center"/>
          </w:tcPr>
          <w:p w14:paraId="4847A883" w14:textId="77777777" w:rsidR="00FD4B40" w:rsidRPr="001414CF" w:rsidRDefault="005E5CF5" w:rsidP="00FB781C">
            <w:pPr>
              <w:pStyle w:val="ListParagraph"/>
              <w:ind w:left="0"/>
              <w:jc w:val="center"/>
              <w:rPr>
                <w:rFonts w:ascii="Times New Roman" w:hAnsi="Times New Roman" w:cs="Times New Roman"/>
                <w:b/>
                <w:bCs/>
                <w:sz w:val="24"/>
                <w:szCs w:val="24"/>
              </w:rPr>
            </w:pPr>
            <w:r w:rsidRPr="001414CF">
              <w:rPr>
                <w:rFonts w:ascii="Times New Roman" w:hAnsi="Times New Roman" w:cs="Times New Roman"/>
                <w:b/>
                <w:bCs/>
                <w:sz w:val="24"/>
                <w:szCs w:val="24"/>
              </w:rPr>
              <w:t>Versija</w:t>
            </w:r>
          </w:p>
        </w:tc>
        <w:tc>
          <w:tcPr>
            <w:tcW w:w="2842" w:type="pct"/>
            <w:shd w:val="clear" w:color="auto" w:fill="F2F2F2" w:themeFill="background1" w:themeFillShade="F2"/>
            <w:vAlign w:val="center"/>
          </w:tcPr>
          <w:p w14:paraId="0018872E" w14:textId="77777777" w:rsidR="00FD4B40" w:rsidRPr="001414CF" w:rsidRDefault="005E5CF5" w:rsidP="00FB781C">
            <w:pPr>
              <w:pStyle w:val="ListParagraph"/>
              <w:ind w:left="0"/>
              <w:jc w:val="center"/>
              <w:rPr>
                <w:rFonts w:ascii="Times New Roman" w:hAnsi="Times New Roman" w:cs="Times New Roman"/>
                <w:b/>
                <w:bCs/>
                <w:sz w:val="24"/>
                <w:szCs w:val="24"/>
              </w:rPr>
            </w:pPr>
            <w:r w:rsidRPr="001414CF">
              <w:rPr>
                <w:rFonts w:ascii="Times New Roman" w:hAnsi="Times New Roman" w:cs="Times New Roman"/>
                <w:b/>
                <w:bCs/>
                <w:sz w:val="24"/>
                <w:szCs w:val="24"/>
              </w:rPr>
              <w:t>Izmaiņu apraksts</w:t>
            </w:r>
          </w:p>
        </w:tc>
        <w:tc>
          <w:tcPr>
            <w:tcW w:w="1563" w:type="pct"/>
            <w:shd w:val="clear" w:color="auto" w:fill="F2F2F2" w:themeFill="background1" w:themeFillShade="F2"/>
            <w:vAlign w:val="center"/>
          </w:tcPr>
          <w:p w14:paraId="48069E2B" w14:textId="77777777" w:rsidR="00FD4B40" w:rsidRPr="001414CF" w:rsidRDefault="005E5CF5" w:rsidP="00FB781C">
            <w:pPr>
              <w:pStyle w:val="ListParagraph"/>
              <w:ind w:left="0"/>
              <w:jc w:val="center"/>
              <w:rPr>
                <w:rFonts w:ascii="Times New Roman" w:hAnsi="Times New Roman" w:cs="Times New Roman"/>
                <w:b/>
                <w:bCs/>
                <w:sz w:val="24"/>
                <w:szCs w:val="24"/>
              </w:rPr>
            </w:pPr>
            <w:r w:rsidRPr="001414CF">
              <w:rPr>
                <w:rFonts w:ascii="Times New Roman" w:hAnsi="Times New Roman" w:cs="Times New Roman"/>
                <w:b/>
                <w:bCs/>
                <w:sz w:val="24"/>
                <w:szCs w:val="24"/>
              </w:rPr>
              <w:t>Izmaiņu pamatojums</w:t>
            </w:r>
          </w:p>
        </w:tc>
      </w:tr>
      <w:tr w:rsidR="00C20646" w14:paraId="148871C0" w14:textId="77777777" w:rsidTr="00FB781C">
        <w:trPr>
          <w:trHeight w:val="191"/>
        </w:trPr>
        <w:tc>
          <w:tcPr>
            <w:tcW w:w="595" w:type="pct"/>
            <w:vAlign w:val="center"/>
          </w:tcPr>
          <w:p w14:paraId="5D10A4C3" w14:textId="3910023F" w:rsidR="00C20646" w:rsidRDefault="00C20646" w:rsidP="00FB781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Nr.6</w:t>
            </w:r>
          </w:p>
        </w:tc>
        <w:tc>
          <w:tcPr>
            <w:tcW w:w="2842" w:type="pct"/>
          </w:tcPr>
          <w:p w14:paraId="628DB177" w14:textId="0CF5AAB6" w:rsidR="00C20646" w:rsidRDefault="00C20646" w:rsidP="002C4335">
            <w:pPr>
              <w:pStyle w:val="ListParagraph"/>
              <w:tabs>
                <w:tab w:val="left" w:pos="1050"/>
              </w:tabs>
              <w:ind w:left="0"/>
              <w:jc w:val="both"/>
              <w:rPr>
                <w:rFonts w:ascii="Times New Roman" w:hAnsi="Times New Roman" w:cs="Times New Roman"/>
                <w:sz w:val="20"/>
                <w:szCs w:val="20"/>
              </w:rPr>
            </w:pPr>
            <w:r>
              <w:rPr>
                <w:rFonts w:ascii="Times New Roman" w:hAnsi="Times New Roman" w:cs="Times New Roman"/>
                <w:sz w:val="20"/>
                <w:szCs w:val="20"/>
              </w:rPr>
              <w:t xml:space="preserve">Liela apjoma izmaiņas saistībā ar grozījumiem </w:t>
            </w:r>
            <w:r w:rsidR="00DC2AA5">
              <w:rPr>
                <w:rFonts w:ascii="Times New Roman" w:hAnsi="Times New Roman" w:cs="Times New Roman"/>
                <w:sz w:val="20"/>
                <w:szCs w:val="20"/>
              </w:rPr>
              <w:t xml:space="preserve">MK </w:t>
            </w:r>
            <w:r>
              <w:rPr>
                <w:rFonts w:ascii="Times New Roman" w:hAnsi="Times New Roman" w:cs="Times New Roman"/>
                <w:sz w:val="20"/>
                <w:szCs w:val="20"/>
              </w:rPr>
              <w:t>noteikumos Nr.169</w:t>
            </w:r>
            <w:r w:rsidR="00DC2AA5">
              <w:rPr>
                <w:rFonts w:ascii="Times New Roman" w:hAnsi="Times New Roman" w:cs="Times New Roman"/>
                <w:sz w:val="20"/>
                <w:szCs w:val="20"/>
              </w:rPr>
              <w:t>.</w:t>
            </w:r>
          </w:p>
        </w:tc>
        <w:tc>
          <w:tcPr>
            <w:tcW w:w="1563" w:type="pct"/>
            <w:vAlign w:val="center"/>
          </w:tcPr>
          <w:p w14:paraId="70DE2042" w14:textId="2ED4F730" w:rsidR="00C20646" w:rsidRDefault="00C20646" w:rsidP="008B5660">
            <w:pPr>
              <w:jc w:val="center"/>
              <w:rPr>
                <w:rFonts w:ascii="Times New Roman" w:hAnsi="Times New Roman" w:cs="Times New Roman"/>
                <w:sz w:val="20"/>
                <w:szCs w:val="20"/>
              </w:rPr>
            </w:pPr>
            <w:r>
              <w:rPr>
                <w:rFonts w:ascii="Times New Roman" w:hAnsi="Times New Roman" w:cs="Times New Roman"/>
                <w:sz w:val="20"/>
                <w:szCs w:val="20"/>
              </w:rPr>
              <w:t xml:space="preserve">Procesa </w:t>
            </w:r>
            <w:r w:rsidR="002C4335">
              <w:rPr>
                <w:rFonts w:ascii="Times New Roman" w:hAnsi="Times New Roman" w:cs="Times New Roman"/>
                <w:sz w:val="20"/>
                <w:szCs w:val="20"/>
              </w:rPr>
              <w:t>pilnveidošana</w:t>
            </w:r>
          </w:p>
        </w:tc>
      </w:tr>
    </w:tbl>
    <w:p w14:paraId="693198B4" w14:textId="77777777" w:rsidR="00AC05BB" w:rsidRDefault="00AC05BB" w:rsidP="00772B9B">
      <w:pPr>
        <w:spacing w:after="0"/>
        <w:jc w:val="both"/>
        <w:rPr>
          <w:rFonts w:ascii="Times New Roman" w:hAnsi="Times New Roman" w:cs="Times New Roman"/>
          <w:sz w:val="20"/>
          <w:szCs w:val="20"/>
        </w:rPr>
      </w:pPr>
    </w:p>
    <w:p w14:paraId="2F178292" w14:textId="77777777" w:rsidR="002C4335" w:rsidRDefault="002C4335" w:rsidP="00772B9B">
      <w:pPr>
        <w:spacing w:after="0"/>
        <w:jc w:val="both"/>
        <w:rPr>
          <w:rFonts w:ascii="Times New Roman" w:hAnsi="Times New Roman" w:cs="Times New Roman"/>
          <w:sz w:val="20"/>
          <w:szCs w:val="20"/>
        </w:rPr>
      </w:pPr>
    </w:p>
    <w:p w14:paraId="7AE0C767" w14:textId="3B1BA862" w:rsidR="00772B9B" w:rsidRPr="004A56FF" w:rsidRDefault="005E5CF5" w:rsidP="00772B9B">
      <w:pPr>
        <w:spacing w:after="0"/>
        <w:jc w:val="both"/>
        <w:rPr>
          <w:rFonts w:ascii="Times New Roman" w:hAnsi="Times New Roman" w:cs="Times New Roman"/>
          <w:sz w:val="20"/>
          <w:szCs w:val="20"/>
        </w:rPr>
      </w:pPr>
      <w:r>
        <w:rPr>
          <w:rFonts w:ascii="Times New Roman" w:hAnsi="Times New Roman" w:cs="Times New Roman"/>
          <w:sz w:val="20"/>
          <w:szCs w:val="20"/>
        </w:rPr>
        <w:t>Procesa i</w:t>
      </w:r>
      <w:r w:rsidRPr="004A56FF">
        <w:rPr>
          <w:rFonts w:ascii="Times New Roman" w:hAnsi="Times New Roman" w:cs="Times New Roman"/>
          <w:sz w:val="20"/>
          <w:szCs w:val="20"/>
        </w:rPr>
        <w:t>zstrādātājs:</w:t>
      </w:r>
    </w:p>
    <w:p w14:paraId="1C4EA292" w14:textId="5BFEA2FC" w:rsidR="00772B9B" w:rsidRPr="004A56FF" w:rsidRDefault="00547C30" w:rsidP="00772B9B">
      <w:pPr>
        <w:spacing w:after="0"/>
        <w:jc w:val="both"/>
        <w:rPr>
          <w:rFonts w:ascii="Times New Roman" w:hAnsi="Times New Roman" w:cs="Times New Roman"/>
          <w:sz w:val="20"/>
          <w:szCs w:val="20"/>
        </w:rPr>
      </w:pPr>
      <w:r>
        <w:rPr>
          <w:rFonts w:ascii="Times New Roman" w:hAnsi="Times New Roman" w:cs="Times New Roman"/>
          <w:sz w:val="20"/>
          <w:szCs w:val="20"/>
        </w:rPr>
        <w:t>Upmiņa</w:t>
      </w:r>
      <w:r w:rsidR="00353309" w:rsidRPr="00202971">
        <w:rPr>
          <w:rFonts w:ascii="Times New Roman" w:hAnsi="Times New Roman" w:cs="Times New Roman"/>
          <w:sz w:val="20"/>
          <w:szCs w:val="20"/>
        </w:rPr>
        <w:t>,</w:t>
      </w:r>
      <w:r w:rsidR="00353309" w:rsidRPr="000000A9">
        <w:rPr>
          <w:rFonts w:ascii="Times New Roman" w:hAnsi="Times New Roman" w:cs="Times New Roman"/>
          <w:sz w:val="20"/>
          <w:szCs w:val="20"/>
        </w:rPr>
        <w:t xml:space="preserve"> </w:t>
      </w:r>
      <w:hyperlink r:id="rId12" w:history="1">
        <w:r w:rsidR="00D04240" w:rsidRPr="000000A9">
          <w:rPr>
            <w:rStyle w:val="Hyperlink"/>
            <w:rFonts w:ascii="Times New Roman" w:hAnsi="Times New Roman" w:cs="Times New Roman"/>
            <w:color w:val="auto"/>
            <w:sz w:val="20"/>
            <w:szCs w:val="20"/>
            <w:u w:val="none"/>
            <w:shd w:val="clear" w:color="auto" w:fill="FFFFFF"/>
          </w:rPr>
          <w:t>28667405</w:t>
        </w:r>
      </w:hyperlink>
    </w:p>
    <w:p w14:paraId="40C86F8D" w14:textId="482F0842" w:rsidR="00772B9B" w:rsidRPr="00AC05BB" w:rsidRDefault="00000000" w:rsidP="00AC05BB">
      <w:pPr>
        <w:spacing w:after="0"/>
        <w:jc w:val="both"/>
        <w:rPr>
          <w:rFonts w:ascii="Times New Roman" w:hAnsi="Times New Roman" w:cs="Times New Roman"/>
          <w:sz w:val="20"/>
          <w:szCs w:val="20"/>
        </w:rPr>
      </w:pPr>
      <w:hyperlink r:id="rId13" w:history="1">
        <w:r w:rsidR="00547C30">
          <w:rPr>
            <w:rStyle w:val="Hyperlink"/>
            <w:rFonts w:ascii="Times New Roman" w:hAnsi="Times New Roman" w:cs="Times New Roman"/>
            <w:sz w:val="20"/>
            <w:szCs w:val="20"/>
          </w:rPr>
          <w:t>Kristine.Upmina</w:t>
        </w:r>
        <w:r w:rsidR="00547C30" w:rsidRPr="003E20BB">
          <w:rPr>
            <w:rStyle w:val="Hyperlink"/>
            <w:rFonts w:ascii="Times New Roman" w:hAnsi="Times New Roman" w:cs="Times New Roman"/>
            <w:sz w:val="20"/>
            <w:szCs w:val="20"/>
          </w:rPr>
          <w:t>@bvkb.gov.lv</w:t>
        </w:r>
      </w:hyperlink>
      <w:r w:rsidR="00625C90">
        <w:rPr>
          <w:rFonts w:ascii="Times New Roman" w:hAnsi="Times New Roman" w:cs="Times New Roman"/>
          <w:sz w:val="20"/>
          <w:szCs w:val="20"/>
        </w:rPr>
        <w:t xml:space="preserve"> </w:t>
      </w:r>
    </w:p>
    <w:p w14:paraId="646C5B66" w14:textId="77777777" w:rsidR="008B72F6" w:rsidRDefault="008B72F6" w:rsidP="008B72F6">
      <w:pPr>
        <w:jc w:val="center"/>
        <w:rPr>
          <w:rFonts w:ascii="Times New Roman" w:hAnsi="Times New Roman" w:cs="Times New Roman"/>
        </w:rPr>
      </w:pPr>
      <w:bookmarkStart w:id="20" w:name="_Hlk2674174"/>
    </w:p>
    <w:p w14:paraId="2D4C7C18" w14:textId="061084F0" w:rsidR="00AC05BB" w:rsidRPr="00AC05BB" w:rsidRDefault="005E5CF5" w:rsidP="00AC05BB">
      <w:pPr>
        <w:spacing w:after="3600"/>
        <w:jc w:val="center"/>
        <w:rPr>
          <w:rFonts w:ascii="Times New Roman" w:hAnsi="Times New Roman" w:cs="Times New Roman"/>
          <w:sz w:val="20"/>
          <w:szCs w:val="20"/>
        </w:rPr>
      </w:pPr>
      <w:r w:rsidRPr="00BD5AEC">
        <w:rPr>
          <w:rFonts w:ascii="Times New Roman" w:hAnsi="Times New Roman" w:cs="Times New Roman"/>
          <w:sz w:val="20"/>
          <w:szCs w:val="20"/>
        </w:rPr>
        <w:t>DOKUMENTS IR PARAKSTĪTS AR DROŠU ELEKTRONISKO PARAKSTU UN SATUR LAIKA ZĪMOGU</w:t>
      </w:r>
    </w:p>
    <w:p w14:paraId="4B870601" w14:textId="77777777" w:rsidR="00772B9B" w:rsidRDefault="005E5CF5" w:rsidP="00772B9B">
      <w:pPr>
        <w:pStyle w:val="ListParagraph"/>
        <w:numPr>
          <w:ilvl w:val="1"/>
          <w:numId w:val="4"/>
        </w:numPr>
        <w:spacing w:after="2400"/>
        <w:jc w:val="right"/>
        <w:rPr>
          <w:rFonts w:ascii="Times New Roman" w:hAnsi="Times New Roman" w:cs="Times New Roman"/>
          <w:sz w:val="24"/>
          <w:szCs w:val="24"/>
        </w:rPr>
      </w:pPr>
      <w:r>
        <w:rPr>
          <w:rFonts w:ascii="Times New Roman" w:hAnsi="Times New Roman" w:cs="Times New Roman"/>
          <w:sz w:val="24"/>
          <w:szCs w:val="24"/>
        </w:rPr>
        <w:lastRenderedPageBreak/>
        <w:t>p</w:t>
      </w:r>
      <w:r w:rsidRPr="00772B9B">
        <w:rPr>
          <w:rFonts w:ascii="Times New Roman" w:hAnsi="Times New Roman" w:cs="Times New Roman"/>
          <w:sz w:val="24"/>
          <w:szCs w:val="24"/>
        </w:rPr>
        <w:t>ielikums</w:t>
      </w:r>
    </w:p>
    <w:p w14:paraId="15FE3972" w14:textId="77777777" w:rsidR="00772B9B" w:rsidRDefault="00772B9B" w:rsidP="00772B9B">
      <w:pPr>
        <w:pStyle w:val="ListParagraph"/>
        <w:spacing w:after="2400"/>
        <w:ind w:left="360"/>
        <w:rPr>
          <w:rFonts w:ascii="Times New Roman" w:hAnsi="Times New Roman" w:cs="Times New Roman"/>
          <w:sz w:val="24"/>
          <w:szCs w:val="24"/>
        </w:rPr>
      </w:pPr>
    </w:p>
    <w:p w14:paraId="54EE7F2A" w14:textId="77777777" w:rsidR="00772B9B" w:rsidRPr="00772B9B" w:rsidRDefault="005E5CF5" w:rsidP="000F457F">
      <w:pPr>
        <w:pStyle w:val="ListParagraph"/>
        <w:spacing w:after="2400"/>
        <w:ind w:left="0"/>
        <w:jc w:val="center"/>
        <w:rPr>
          <w:rFonts w:ascii="Times New Roman" w:hAnsi="Times New Roman" w:cs="Times New Roman"/>
          <w:sz w:val="24"/>
          <w:szCs w:val="24"/>
        </w:rPr>
      </w:pPr>
      <w:r>
        <w:object w:dxaOrig="9640" w:dyaOrig="10530" w14:anchorId="7C2D247F">
          <v:shape id="_x0000_i1026" type="#_x0000_t75" style="width:482.5pt;height:526.5pt" o:ole="">
            <v:imagedata r:id="rId14" o:title=""/>
          </v:shape>
          <o:OLEObject Type="Embed" ProgID="Visio.Drawing.15" ShapeID="_x0000_i1026" DrawAspect="Content" ObjectID="_1762773710" r:id="rId15"/>
        </w:object>
      </w:r>
    </w:p>
    <w:bookmarkEnd w:id="20"/>
    <w:p w14:paraId="5C91434D" w14:textId="77777777" w:rsidR="00772B9B" w:rsidRPr="00772B9B" w:rsidRDefault="00772B9B">
      <w:pPr>
        <w:rPr>
          <w:rFonts w:ascii="Times New Roman" w:hAnsi="Times New Roman" w:cs="Times New Roman"/>
          <w:sz w:val="24"/>
          <w:szCs w:val="24"/>
        </w:rPr>
      </w:pPr>
    </w:p>
    <w:sectPr w:rsidR="00772B9B" w:rsidRPr="00772B9B" w:rsidSect="00AC05BB">
      <w:footerReference w:type="default" r:id="rId16"/>
      <w:headerReference w:type="first" r:id="rId17"/>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2468" w14:textId="77777777" w:rsidR="00B95A78" w:rsidRDefault="00B95A78">
      <w:pPr>
        <w:spacing w:after="0" w:line="240" w:lineRule="auto"/>
      </w:pPr>
      <w:r>
        <w:separator/>
      </w:r>
    </w:p>
  </w:endnote>
  <w:endnote w:type="continuationSeparator" w:id="0">
    <w:p w14:paraId="226512F0" w14:textId="77777777" w:rsidR="00B95A78" w:rsidRDefault="00B9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84217632"/>
      <w:docPartObj>
        <w:docPartGallery w:val="Page Numbers (Bottom of Page)"/>
        <w:docPartUnique/>
      </w:docPartObj>
    </w:sdtPr>
    <w:sdtContent>
      <w:sdt>
        <w:sdtPr>
          <w:rPr>
            <w:rFonts w:ascii="Times New Roman" w:hAnsi="Times New Roman" w:cs="Times New Roman"/>
          </w:rPr>
          <w:id w:val="114122030"/>
          <w:docPartObj>
            <w:docPartGallery w:val="Page Numbers (Top of Page)"/>
            <w:docPartUnique/>
          </w:docPartObj>
        </w:sdtPr>
        <w:sdtContent>
          <w:p w14:paraId="527BFAD2" w14:textId="77777777" w:rsidR="00772039" w:rsidRPr="00772039" w:rsidRDefault="005E5CF5">
            <w:pPr>
              <w:pStyle w:val="Footer"/>
              <w:jc w:val="right"/>
              <w:rPr>
                <w:rFonts w:ascii="Times New Roman" w:hAnsi="Times New Roman" w:cs="Times New Roman"/>
              </w:rPr>
            </w:pPr>
            <w:r>
              <w:rPr>
                <w:rFonts w:ascii="Times New Roman" w:hAnsi="Times New Roman" w:cs="Times New Roman"/>
              </w:rPr>
              <w:t>Lapa</w:t>
            </w:r>
            <w:r w:rsidRPr="00772039">
              <w:rPr>
                <w:rFonts w:ascii="Times New Roman" w:hAnsi="Times New Roman" w:cs="Times New Roman"/>
              </w:rPr>
              <w:t xml:space="preserve"> </w:t>
            </w:r>
            <w:r w:rsidRPr="00772039">
              <w:rPr>
                <w:rFonts w:ascii="Times New Roman" w:hAnsi="Times New Roman" w:cs="Times New Roman"/>
                <w:b/>
                <w:bCs/>
                <w:sz w:val="24"/>
                <w:szCs w:val="24"/>
              </w:rPr>
              <w:fldChar w:fldCharType="begin"/>
            </w:r>
            <w:r w:rsidRPr="00772039">
              <w:rPr>
                <w:rFonts w:ascii="Times New Roman" w:hAnsi="Times New Roman" w:cs="Times New Roman"/>
                <w:b/>
                <w:bCs/>
              </w:rPr>
              <w:instrText>PAGE</w:instrText>
            </w:r>
            <w:r w:rsidRPr="00772039">
              <w:rPr>
                <w:rFonts w:ascii="Times New Roman" w:hAnsi="Times New Roman" w:cs="Times New Roman"/>
                <w:b/>
                <w:bCs/>
                <w:sz w:val="24"/>
                <w:szCs w:val="24"/>
              </w:rPr>
              <w:fldChar w:fldCharType="separate"/>
            </w:r>
            <w:r w:rsidRPr="00772039">
              <w:rPr>
                <w:rFonts w:ascii="Times New Roman" w:hAnsi="Times New Roman" w:cs="Times New Roman"/>
                <w:b/>
                <w:bCs/>
              </w:rPr>
              <w:t>13</w:t>
            </w:r>
            <w:r w:rsidRPr="00772039">
              <w:rPr>
                <w:rFonts w:ascii="Times New Roman" w:hAnsi="Times New Roman" w:cs="Times New Roman"/>
                <w:b/>
                <w:bCs/>
                <w:sz w:val="24"/>
                <w:szCs w:val="24"/>
              </w:rPr>
              <w:fldChar w:fldCharType="end"/>
            </w:r>
            <w:r w:rsidRPr="00772039">
              <w:rPr>
                <w:rFonts w:ascii="Times New Roman" w:hAnsi="Times New Roman" w:cs="Times New Roman"/>
              </w:rPr>
              <w:t xml:space="preserve"> no </w:t>
            </w:r>
            <w:r w:rsidRPr="00772039">
              <w:rPr>
                <w:rFonts w:ascii="Times New Roman" w:hAnsi="Times New Roman" w:cs="Times New Roman"/>
                <w:b/>
                <w:bCs/>
                <w:sz w:val="24"/>
                <w:szCs w:val="24"/>
              </w:rPr>
              <w:fldChar w:fldCharType="begin"/>
            </w:r>
            <w:r w:rsidRPr="00772039">
              <w:rPr>
                <w:rFonts w:ascii="Times New Roman" w:hAnsi="Times New Roman" w:cs="Times New Roman"/>
                <w:b/>
                <w:bCs/>
              </w:rPr>
              <w:instrText>NUMPAGES</w:instrText>
            </w:r>
            <w:r w:rsidRPr="00772039">
              <w:rPr>
                <w:rFonts w:ascii="Times New Roman" w:hAnsi="Times New Roman" w:cs="Times New Roman"/>
                <w:b/>
                <w:bCs/>
                <w:sz w:val="24"/>
                <w:szCs w:val="24"/>
              </w:rPr>
              <w:fldChar w:fldCharType="separate"/>
            </w:r>
            <w:r w:rsidRPr="00772039">
              <w:rPr>
                <w:rFonts w:ascii="Times New Roman" w:hAnsi="Times New Roman" w:cs="Times New Roman"/>
                <w:b/>
                <w:bCs/>
              </w:rPr>
              <w:t>13</w:t>
            </w:r>
            <w:r w:rsidRPr="00772039">
              <w:rPr>
                <w:rFonts w:ascii="Times New Roman" w:hAnsi="Times New Roman" w:cs="Times New Roman"/>
                <w:b/>
                <w:bCs/>
                <w:sz w:val="24"/>
                <w:szCs w:val="24"/>
              </w:rPr>
              <w:fldChar w:fldCharType="end"/>
            </w:r>
          </w:p>
        </w:sdtContent>
      </w:sdt>
    </w:sdtContent>
  </w:sdt>
  <w:p w14:paraId="795225B3" w14:textId="77777777" w:rsidR="00A070E4" w:rsidRPr="00772B9B" w:rsidRDefault="00A070E4" w:rsidP="00772B9B">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407D" w14:textId="77777777" w:rsidR="00B95A78" w:rsidRDefault="00B95A78">
      <w:pPr>
        <w:spacing w:after="0" w:line="240" w:lineRule="auto"/>
      </w:pPr>
      <w:r>
        <w:separator/>
      </w:r>
    </w:p>
  </w:footnote>
  <w:footnote w:type="continuationSeparator" w:id="0">
    <w:p w14:paraId="238E7F82" w14:textId="77777777" w:rsidR="00B95A78" w:rsidRDefault="00B95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4659"/>
      <w:gridCol w:w="2711"/>
    </w:tblGrid>
    <w:tr w:rsidR="00A76D4F" w14:paraId="72AFD9F3" w14:textId="77777777" w:rsidTr="00565963">
      <w:trPr>
        <w:trHeight w:val="209"/>
        <w:jc w:val="center"/>
      </w:trPr>
      <w:tc>
        <w:tcPr>
          <w:tcW w:w="1695" w:type="dxa"/>
          <w:vMerge w:val="restart"/>
          <w:tcBorders>
            <w:top w:val="single" w:sz="4" w:space="0" w:color="auto"/>
            <w:left w:val="single" w:sz="4" w:space="0" w:color="auto"/>
            <w:bottom w:val="single" w:sz="4" w:space="0" w:color="auto"/>
            <w:right w:val="single" w:sz="4" w:space="0" w:color="auto"/>
          </w:tcBorders>
        </w:tcPr>
        <w:p w14:paraId="6164F790" w14:textId="77777777" w:rsidR="00A070E4" w:rsidRDefault="00A070E4" w:rsidP="00772B9B">
          <w:pPr>
            <w:pStyle w:val="Header"/>
            <w:spacing w:line="256" w:lineRule="auto"/>
            <w:rPr>
              <w:rFonts w:ascii="Times New Roman" w:hAnsi="Times New Roman" w:cs="Times New Roman"/>
              <w:sz w:val="20"/>
            </w:rPr>
          </w:pPr>
        </w:p>
        <w:p w14:paraId="797A2C5F" w14:textId="77777777" w:rsidR="00A070E4" w:rsidRDefault="00A070E4" w:rsidP="00772B9B">
          <w:pPr>
            <w:pStyle w:val="Header"/>
            <w:spacing w:line="256" w:lineRule="auto"/>
            <w:rPr>
              <w:rFonts w:ascii="Times New Roman" w:hAnsi="Times New Roman" w:cs="Times New Roman"/>
              <w:sz w:val="20"/>
            </w:rPr>
          </w:pPr>
        </w:p>
        <w:p w14:paraId="5F052947" w14:textId="77777777" w:rsidR="00A070E4" w:rsidRDefault="005E5CF5" w:rsidP="00772B9B">
          <w:pPr>
            <w:pStyle w:val="Header"/>
            <w:spacing w:line="256" w:lineRule="auto"/>
            <w:jc w:val="center"/>
            <w:rPr>
              <w:rFonts w:ascii="Times New Roman" w:hAnsi="Times New Roman" w:cs="Times New Roman"/>
              <w:color w:val="FF0000"/>
              <w:sz w:val="20"/>
            </w:rPr>
          </w:pPr>
          <w:r>
            <w:rPr>
              <w:rFonts w:ascii="Times New Roman" w:hAnsi="Times New Roman" w:cs="Times New Roman"/>
            </w:rPr>
            <w:object w:dxaOrig="1440" w:dyaOrig="730" w14:anchorId="6162E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37pt" o:ole="">
                <v:imagedata r:id="rId1" o:title=""/>
              </v:shape>
              <o:OLEObject Type="Embed" ProgID="PBrush" ShapeID="_x0000_i1027" DrawAspect="Content" ObjectID="_1762773711" r:id="rId2"/>
            </w:object>
          </w:r>
        </w:p>
      </w:tc>
      <w:tc>
        <w:tcPr>
          <w:tcW w:w="7370" w:type="dxa"/>
          <w:gridSpan w:val="2"/>
          <w:tcBorders>
            <w:top w:val="single" w:sz="4" w:space="0" w:color="auto"/>
            <w:left w:val="single" w:sz="4" w:space="0" w:color="auto"/>
            <w:bottom w:val="single" w:sz="4" w:space="0" w:color="auto"/>
            <w:right w:val="single" w:sz="4" w:space="0" w:color="auto"/>
          </w:tcBorders>
          <w:hideMark/>
        </w:tcPr>
        <w:p w14:paraId="640D70DE" w14:textId="77777777" w:rsidR="00A070E4" w:rsidRDefault="005E5CF5" w:rsidP="00772B9B">
          <w:pPr>
            <w:pStyle w:val="Header"/>
            <w:spacing w:line="256" w:lineRule="auto"/>
            <w:jc w:val="center"/>
            <w:rPr>
              <w:rFonts w:ascii="Times New Roman" w:hAnsi="Times New Roman" w:cs="Times New Roman"/>
              <w:sz w:val="20"/>
            </w:rPr>
          </w:pPr>
          <w:r>
            <w:rPr>
              <w:rFonts w:ascii="Times New Roman" w:hAnsi="Times New Roman" w:cs="Times New Roman"/>
              <w:sz w:val="20"/>
            </w:rPr>
            <w:t>Būvniecības valsts kontroles birojs</w:t>
          </w:r>
        </w:p>
      </w:tc>
    </w:tr>
    <w:tr w:rsidR="00A76D4F" w14:paraId="7293BAEF" w14:textId="77777777" w:rsidTr="00565963">
      <w:trPr>
        <w:trHeight w:val="2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5F492F4B" w14:textId="77777777" w:rsidR="00A070E4" w:rsidRDefault="00A070E4" w:rsidP="00772B9B">
          <w:pPr>
            <w:spacing w:after="0"/>
            <w:rPr>
              <w:rFonts w:ascii="Times New Roman" w:hAnsi="Times New Roman" w:cs="Times New Roman"/>
              <w:color w:val="FF0000"/>
              <w:sz w:val="20"/>
            </w:rPr>
          </w:pPr>
        </w:p>
      </w:tc>
      <w:tc>
        <w:tcPr>
          <w:tcW w:w="7370" w:type="dxa"/>
          <w:gridSpan w:val="2"/>
          <w:tcBorders>
            <w:top w:val="single" w:sz="4" w:space="0" w:color="auto"/>
            <w:left w:val="single" w:sz="4" w:space="0" w:color="auto"/>
            <w:bottom w:val="single" w:sz="4" w:space="0" w:color="auto"/>
            <w:right w:val="single" w:sz="4" w:space="0" w:color="auto"/>
          </w:tcBorders>
          <w:hideMark/>
        </w:tcPr>
        <w:p w14:paraId="15A83F5E" w14:textId="77777777" w:rsidR="00A070E4" w:rsidRDefault="005E5CF5" w:rsidP="00772B9B">
          <w:pPr>
            <w:pStyle w:val="Header"/>
            <w:spacing w:line="256" w:lineRule="auto"/>
            <w:jc w:val="center"/>
            <w:rPr>
              <w:rFonts w:ascii="Times New Roman" w:hAnsi="Times New Roman" w:cs="Times New Roman"/>
              <w:sz w:val="20"/>
            </w:rPr>
          </w:pPr>
          <w:r>
            <w:rPr>
              <w:rFonts w:ascii="Times New Roman" w:hAnsi="Times New Roman" w:cs="Times New Roman"/>
              <w:sz w:val="20"/>
            </w:rPr>
            <w:t>Kvalitātes vadības sistēmas dokuments</w:t>
          </w:r>
        </w:p>
      </w:tc>
    </w:tr>
    <w:tr w:rsidR="00A76D4F" w14:paraId="599FB6B1" w14:textId="77777777" w:rsidTr="00565963">
      <w:trPr>
        <w:trHeight w:val="183"/>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28774F19" w14:textId="77777777" w:rsidR="00A070E4" w:rsidRDefault="00A070E4" w:rsidP="00772B9B">
          <w:pPr>
            <w:spacing w:after="0"/>
            <w:rPr>
              <w:rFonts w:ascii="Times New Roman" w:hAnsi="Times New Roman" w:cs="Times New Roman"/>
              <w:color w:val="FF0000"/>
              <w:sz w:val="20"/>
            </w:rPr>
          </w:pPr>
        </w:p>
      </w:tc>
      <w:tc>
        <w:tcPr>
          <w:tcW w:w="4659" w:type="dxa"/>
          <w:tcBorders>
            <w:top w:val="single" w:sz="4" w:space="0" w:color="auto"/>
            <w:left w:val="single" w:sz="4" w:space="0" w:color="auto"/>
            <w:bottom w:val="single" w:sz="4" w:space="0" w:color="auto"/>
            <w:right w:val="single" w:sz="4" w:space="0" w:color="auto"/>
          </w:tcBorders>
          <w:hideMark/>
        </w:tcPr>
        <w:p w14:paraId="042237B2" w14:textId="77777777" w:rsidR="00A070E4" w:rsidRDefault="005E5CF5" w:rsidP="00772B9B">
          <w:pPr>
            <w:pStyle w:val="Header"/>
            <w:spacing w:line="256" w:lineRule="auto"/>
            <w:jc w:val="both"/>
            <w:rPr>
              <w:rFonts w:ascii="Times New Roman" w:hAnsi="Times New Roman" w:cs="Times New Roman"/>
              <w:sz w:val="20"/>
            </w:rPr>
          </w:pPr>
          <w:r>
            <w:rPr>
              <w:rFonts w:ascii="Times New Roman" w:hAnsi="Times New Roman" w:cs="Times New Roman"/>
              <w:u w:val="single"/>
            </w:rPr>
            <w:t>Numurs: 1.pielikums PP.BVS</w:t>
          </w:r>
        </w:p>
      </w:tc>
      <w:tc>
        <w:tcPr>
          <w:tcW w:w="2711" w:type="dxa"/>
          <w:tcBorders>
            <w:top w:val="single" w:sz="4" w:space="0" w:color="auto"/>
            <w:left w:val="single" w:sz="4" w:space="0" w:color="auto"/>
            <w:bottom w:val="single" w:sz="4" w:space="0" w:color="auto"/>
            <w:right w:val="single" w:sz="4" w:space="0" w:color="auto"/>
          </w:tcBorders>
          <w:hideMark/>
        </w:tcPr>
        <w:p w14:paraId="2FBF5153" w14:textId="2D49A60F" w:rsidR="00A070E4" w:rsidRDefault="005E5CF5" w:rsidP="00772B9B">
          <w:pPr>
            <w:pStyle w:val="Header"/>
            <w:spacing w:line="256" w:lineRule="auto"/>
            <w:jc w:val="both"/>
            <w:rPr>
              <w:rFonts w:ascii="Times New Roman" w:hAnsi="Times New Roman" w:cs="Times New Roman"/>
            </w:rPr>
          </w:pPr>
          <w:r>
            <w:rPr>
              <w:rFonts w:ascii="Times New Roman" w:hAnsi="Times New Roman" w:cs="Times New Roman"/>
            </w:rPr>
            <w:t>Versija:</w:t>
          </w:r>
          <w:r w:rsidR="00E551F2">
            <w:rPr>
              <w:rFonts w:ascii="Times New Roman" w:hAnsi="Times New Roman" w:cs="Times New Roman"/>
            </w:rPr>
            <w:t>7</w:t>
          </w:r>
        </w:p>
      </w:tc>
    </w:tr>
    <w:tr w:rsidR="00A76D4F" w14:paraId="55DDEEDC" w14:textId="77777777" w:rsidTr="00565963">
      <w:trPr>
        <w:trHeight w:val="702"/>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5F308076" w14:textId="77777777" w:rsidR="00A070E4" w:rsidRDefault="00A070E4" w:rsidP="00772B9B">
          <w:pPr>
            <w:spacing w:after="0"/>
            <w:rPr>
              <w:rFonts w:ascii="Times New Roman" w:hAnsi="Times New Roman" w:cs="Times New Roman"/>
              <w:color w:val="FF0000"/>
              <w:sz w:val="20"/>
            </w:rPr>
          </w:pPr>
        </w:p>
      </w:tc>
      <w:tc>
        <w:tcPr>
          <w:tcW w:w="7370" w:type="dxa"/>
          <w:gridSpan w:val="2"/>
          <w:vMerge w:val="restart"/>
          <w:tcBorders>
            <w:top w:val="single" w:sz="4" w:space="0" w:color="auto"/>
            <w:left w:val="single" w:sz="4" w:space="0" w:color="auto"/>
            <w:bottom w:val="single" w:sz="4" w:space="0" w:color="auto"/>
            <w:right w:val="single" w:sz="4" w:space="0" w:color="auto"/>
          </w:tcBorders>
        </w:tcPr>
        <w:p w14:paraId="62BD18BD" w14:textId="77777777" w:rsidR="00A070E4" w:rsidRDefault="00A070E4" w:rsidP="00772B9B">
          <w:pPr>
            <w:pStyle w:val="Header"/>
            <w:spacing w:line="256" w:lineRule="auto"/>
            <w:rPr>
              <w:rFonts w:ascii="Times New Roman" w:hAnsi="Times New Roman" w:cs="Times New Roman"/>
              <w:sz w:val="20"/>
            </w:rPr>
          </w:pPr>
        </w:p>
        <w:p w14:paraId="0B6AFDC1" w14:textId="77777777" w:rsidR="00A070E4" w:rsidRDefault="005E5CF5" w:rsidP="00772B9B">
          <w:pPr>
            <w:pStyle w:val="Header"/>
            <w:spacing w:line="256" w:lineRule="auto"/>
            <w:rPr>
              <w:rFonts w:ascii="Times New Roman" w:hAnsi="Times New Roman" w:cs="Times New Roman"/>
              <w:sz w:val="20"/>
            </w:rPr>
          </w:pPr>
          <w:r>
            <w:rPr>
              <w:rFonts w:ascii="Times New Roman" w:hAnsi="Times New Roman" w:cs="Times New Roman"/>
              <w:sz w:val="20"/>
            </w:rPr>
            <w:t>APSTIPRINU:</w:t>
          </w:r>
        </w:p>
        <w:p w14:paraId="22958897" w14:textId="0E3D1AB3" w:rsidR="00A070E4" w:rsidRDefault="005E5CF5" w:rsidP="00772B9B">
          <w:pPr>
            <w:pStyle w:val="Header"/>
            <w:spacing w:line="256" w:lineRule="auto"/>
            <w:rPr>
              <w:rFonts w:ascii="Times New Roman" w:hAnsi="Times New Roman" w:cs="Times New Roman"/>
              <w:sz w:val="20"/>
            </w:rPr>
          </w:pPr>
          <w:proofErr w:type="spellStart"/>
          <w:r>
            <w:rPr>
              <w:rFonts w:ascii="Times New Roman" w:hAnsi="Times New Roman" w:cs="Times New Roman"/>
              <w:sz w:val="20"/>
            </w:rPr>
            <w:t>Būvspeciālistu</w:t>
          </w:r>
          <w:proofErr w:type="spellEnd"/>
          <w:r>
            <w:rPr>
              <w:rFonts w:ascii="Times New Roman" w:hAnsi="Times New Roman" w:cs="Times New Roman"/>
              <w:sz w:val="20"/>
            </w:rPr>
            <w:t xml:space="preserve"> sertificēšanas nodaļas vadītāja</w:t>
          </w:r>
          <w:r w:rsidR="00E551F2">
            <w:rPr>
              <w:rFonts w:ascii="Times New Roman" w:hAnsi="Times New Roman" w:cs="Times New Roman"/>
              <w:sz w:val="20"/>
            </w:rPr>
            <w:t xml:space="preserve"> </w:t>
          </w:r>
          <w:proofErr w:type="spellStart"/>
          <w:r w:rsidR="00E551F2">
            <w:rPr>
              <w:rFonts w:ascii="Times New Roman" w:hAnsi="Times New Roman" w:cs="Times New Roman"/>
              <w:sz w:val="20"/>
            </w:rPr>
            <w:t>p.i</w:t>
          </w:r>
          <w:proofErr w:type="spellEnd"/>
          <w:r w:rsidR="00E551F2">
            <w:rPr>
              <w:rFonts w:ascii="Times New Roman" w:hAnsi="Times New Roman" w:cs="Times New Roman"/>
              <w:sz w:val="20"/>
            </w:rPr>
            <w:t>.</w:t>
          </w:r>
          <w:r w:rsidR="00F96A4B">
            <w:rPr>
              <w:rFonts w:ascii="Times New Roman" w:hAnsi="Times New Roman" w:cs="Times New Roman"/>
              <w:sz w:val="20"/>
            </w:rPr>
            <w:t xml:space="preserve"> </w:t>
          </w:r>
          <w:proofErr w:type="spellStart"/>
          <w:r w:rsidR="00E551F2">
            <w:rPr>
              <w:rFonts w:ascii="Times New Roman" w:hAnsi="Times New Roman" w:cs="Times New Roman"/>
              <w:sz w:val="20"/>
            </w:rPr>
            <w:t>K.Upmiņa</w:t>
          </w:r>
          <w:proofErr w:type="spellEnd"/>
        </w:p>
        <w:tbl>
          <w:tblPr>
            <w:tblW w:w="0" w:type="auto"/>
            <w:tblLayout w:type="fixed"/>
            <w:tblCellMar>
              <w:left w:w="0" w:type="dxa"/>
              <w:right w:w="0" w:type="dxa"/>
            </w:tblCellMar>
            <w:tblLook w:val="04A0" w:firstRow="1" w:lastRow="0" w:firstColumn="1" w:lastColumn="0" w:noHBand="0" w:noVBand="1"/>
          </w:tblPr>
          <w:tblGrid>
            <w:gridCol w:w="4848"/>
            <w:gridCol w:w="283"/>
            <w:gridCol w:w="236"/>
          </w:tblGrid>
          <w:tr w:rsidR="00A76D4F" w14:paraId="0CBD92FB" w14:textId="77777777" w:rsidTr="00D32192">
            <w:tc>
              <w:tcPr>
                <w:tcW w:w="4848" w:type="dxa"/>
                <w:tcMar>
                  <w:top w:w="0" w:type="dxa"/>
                  <w:left w:w="108" w:type="dxa"/>
                  <w:bottom w:w="0" w:type="dxa"/>
                  <w:right w:w="108" w:type="dxa"/>
                </w:tcMar>
                <w:hideMark/>
              </w:tcPr>
              <w:p w14:paraId="5DA5DA87" w14:textId="31544C09" w:rsidR="00CE60E5" w:rsidRPr="00CE60E5" w:rsidRDefault="00C708AF" w:rsidP="00CE60E5">
                <w:pPr>
                  <w:spacing w:after="0" w:line="240" w:lineRule="auto"/>
                  <w:rPr>
                    <w:rFonts w:ascii="Times New Roman" w:hAnsi="Times New Roman" w:cs="Times New Roman"/>
                    <w:sz w:val="20"/>
                  </w:rPr>
                </w:pPr>
                <w:r w:rsidRPr="000173F2">
                  <w:rPr>
                    <w:rFonts w:ascii="Times New Roman" w:hAnsi="Times New Roman" w:cs="Times New Roman"/>
                    <w:noProof/>
                    <w:sz w:val="20"/>
                    <w:szCs w:val="20"/>
                  </w:rPr>
                  <w:t>2</w:t>
                </w:r>
                <w:r>
                  <w:rPr>
                    <w:rFonts w:ascii="Times New Roman" w:hAnsi="Times New Roman" w:cs="Times New Roman"/>
                    <w:noProof/>
                    <w:sz w:val="20"/>
                    <w:szCs w:val="20"/>
                  </w:rPr>
                  <w:t>8</w:t>
                </w:r>
                <w:r w:rsidRPr="000173F2">
                  <w:rPr>
                    <w:rFonts w:ascii="Times New Roman" w:hAnsi="Times New Roman" w:cs="Times New Roman"/>
                    <w:noProof/>
                    <w:sz w:val="20"/>
                    <w:szCs w:val="20"/>
                  </w:rPr>
                  <w:t>.11.2023</w:t>
                </w:r>
                <w:r>
                  <w:rPr>
                    <w:rFonts w:ascii="Times New Roman" w:hAnsi="Times New Roman" w:cs="Times New Roman"/>
                    <w:sz w:val="20"/>
                    <w:szCs w:val="20"/>
                  </w:rPr>
                  <w:t xml:space="preserve">  Nr. </w:t>
                </w:r>
                <w:r w:rsidRPr="000173F2">
                  <w:rPr>
                    <w:rFonts w:ascii="Times New Roman" w:hAnsi="Times New Roman" w:cs="Times New Roman"/>
                    <w:noProof/>
                    <w:sz w:val="20"/>
                    <w:szCs w:val="20"/>
                  </w:rPr>
                  <w:t>1-1.6/2023/5</w:t>
                </w:r>
                <w:r w:rsidR="00123336">
                  <w:rPr>
                    <w:rFonts w:ascii="Times New Roman" w:hAnsi="Times New Roman" w:cs="Times New Roman"/>
                    <w:noProof/>
                    <w:sz w:val="20"/>
                    <w:szCs w:val="20"/>
                  </w:rPr>
                  <w:t>5</w:t>
                </w:r>
              </w:p>
            </w:tc>
            <w:tc>
              <w:tcPr>
                <w:tcW w:w="283" w:type="dxa"/>
                <w:tcMar>
                  <w:top w:w="0" w:type="dxa"/>
                  <w:left w:w="108" w:type="dxa"/>
                  <w:bottom w:w="0" w:type="dxa"/>
                  <w:right w:w="108" w:type="dxa"/>
                </w:tcMar>
                <w:hideMark/>
              </w:tcPr>
              <w:p w14:paraId="3EBD466F" w14:textId="77777777" w:rsidR="00CE60E5" w:rsidRPr="00CE60E5" w:rsidRDefault="00CE60E5" w:rsidP="00CE60E5">
                <w:pPr>
                  <w:spacing w:after="0" w:line="240" w:lineRule="auto"/>
                  <w:rPr>
                    <w:rFonts w:ascii="Times New Roman" w:hAnsi="Times New Roman" w:cs="Times New Roman"/>
                    <w:sz w:val="20"/>
                  </w:rPr>
                </w:pPr>
              </w:p>
            </w:tc>
            <w:tc>
              <w:tcPr>
                <w:tcW w:w="236" w:type="dxa"/>
                <w:tcMar>
                  <w:top w:w="0" w:type="dxa"/>
                  <w:left w:w="108" w:type="dxa"/>
                  <w:bottom w:w="0" w:type="dxa"/>
                  <w:right w:w="108" w:type="dxa"/>
                </w:tcMar>
                <w:hideMark/>
              </w:tcPr>
              <w:p w14:paraId="7E43DE8C" w14:textId="77777777" w:rsidR="00CE60E5" w:rsidRPr="00CE60E5" w:rsidRDefault="00CE60E5" w:rsidP="00CE60E5">
                <w:pPr>
                  <w:spacing w:after="0" w:line="240" w:lineRule="auto"/>
                  <w:rPr>
                    <w:rFonts w:ascii="Times New Roman" w:hAnsi="Times New Roman" w:cs="Times New Roman"/>
                    <w:sz w:val="20"/>
                  </w:rPr>
                </w:pPr>
              </w:p>
            </w:tc>
          </w:tr>
        </w:tbl>
        <w:p w14:paraId="5FBC4CDF" w14:textId="77777777" w:rsidR="00A070E4" w:rsidRDefault="00A070E4" w:rsidP="00772B9B">
          <w:pPr>
            <w:pStyle w:val="Header"/>
            <w:spacing w:line="256" w:lineRule="auto"/>
            <w:rPr>
              <w:rFonts w:ascii="Times New Roman" w:hAnsi="Times New Roman" w:cs="Times New Roman"/>
              <w:sz w:val="20"/>
            </w:rPr>
          </w:pPr>
        </w:p>
      </w:tc>
    </w:tr>
    <w:tr w:rsidR="00A76D4F" w14:paraId="4F9985C6" w14:textId="77777777" w:rsidTr="00565963">
      <w:trPr>
        <w:trHeight w:val="45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3E2164AF" w14:textId="77777777" w:rsidR="00A070E4" w:rsidRDefault="00A070E4" w:rsidP="00772B9B">
          <w:pPr>
            <w:spacing w:after="0"/>
            <w:rPr>
              <w:rFonts w:ascii="Times New Roman" w:hAnsi="Times New Roman" w:cs="Times New Roman"/>
              <w:color w:val="FF0000"/>
              <w:sz w:val="20"/>
            </w:rPr>
          </w:pPr>
        </w:p>
      </w:tc>
      <w:tc>
        <w:tcPr>
          <w:tcW w:w="7370" w:type="dxa"/>
          <w:gridSpan w:val="2"/>
          <w:vMerge/>
          <w:tcBorders>
            <w:top w:val="single" w:sz="4" w:space="0" w:color="auto"/>
            <w:left w:val="single" w:sz="4" w:space="0" w:color="auto"/>
            <w:bottom w:val="single" w:sz="4" w:space="0" w:color="auto"/>
            <w:right w:val="single" w:sz="4" w:space="0" w:color="auto"/>
          </w:tcBorders>
          <w:vAlign w:val="center"/>
          <w:hideMark/>
        </w:tcPr>
        <w:p w14:paraId="22206398" w14:textId="77777777" w:rsidR="00A070E4" w:rsidRDefault="00A070E4" w:rsidP="00772B9B">
          <w:pPr>
            <w:spacing w:after="0"/>
            <w:rPr>
              <w:rFonts w:ascii="Times New Roman" w:hAnsi="Times New Roman" w:cs="Times New Roman"/>
              <w:sz w:val="20"/>
            </w:rPr>
          </w:pPr>
        </w:p>
      </w:tc>
    </w:tr>
  </w:tbl>
  <w:p w14:paraId="4FADE8AD" w14:textId="77777777" w:rsidR="00A070E4" w:rsidRDefault="00A07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681BF4"/>
    <w:multiLevelType w:val="multilevel"/>
    <w:tmpl w:val="5636CCB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4C1E6600"/>
    <w:multiLevelType w:val="multilevel"/>
    <w:tmpl w:val="9A9A9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900857"/>
    <w:multiLevelType w:val="hybridMultilevel"/>
    <w:tmpl w:val="F1D406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54FA4B82"/>
    <w:multiLevelType w:val="hybridMultilevel"/>
    <w:tmpl w:val="23AAB352"/>
    <w:lvl w:ilvl="0" w:tplc="850EEE20">
      <w:start w:val="1"/>
      <w:numFmt w:val="bullet"/>
      <w:lvlText w:val=""/>
      <w:lvlJc w:val="left"/>
      <w:pPr>
        <w:ind w:left="1317" w:hanging="360"/>
      </w:pPr>
      <w:rPr>
        <w:rFonts w:ascii="Wingdings" w:hAnsi="Wingdings" w:hint="default"/>
      </w:rPr>
    </w:lvl>
    <w:lvl w:ilvl="1" w:tplc="E7AE8604" w:tentative="1">
      <w:start w:val="1"/>
      <w:numFmt w:val="bullet"/>
      <w:lvlText w:val="o"/>
      <w:lvlJc w:val="left"/>
      <w:pPr>
        <w:ind w:left="2037" w:hanging="360"/>
      </w:pPr>
      <w:rPr>
        <w:rFonts w:ascii="Courier New" w:hAnsi="Courier New" w:cs="Courier New" w:hint="default"/>
      </w:rPr>
    </w:lvl>
    <w:lvl w:ilvl="2" w:tplc="E7FEB85E" w:tentative="1">
      <w:start w:val="1"/>
      <w:numFmt w:val="bullet"/>
      <w:lvlText w:val=""/>
      <w:lvlJc w:val="left"/>
      <w:pPr>
        <w:ind w:left="2757" w:hanging="360"/>
      </w:pPr>
      <w:rPr>
        <w:rFonts w:ascii="Wingdings" w:hAnsi="Wingdings" w:hint="default"/>
      </w:rPr>
    </w:lvl>
    <w:lvl w:ilvl="3" w:tplc="79DA3D12" w:tentative="1">
      <w:start w:val="1"/>
      <w:numFmt w:val="bullet"/>
      <w:lvlText w:val=""/>
      <w:lvlJc w:val="left"/>
      <w:pPr>
        <w:ind w:left="3477" w:hanging="360"/>
      </w:pPr>
      <w:rPr>
        <w:rFonts w:ascii="Symbol" w:hAnsi="Symbol" w:hint="default"/>
      </w:rPr>
    </w:lvl>
    <w:lvl w:ilvl="4" w:tplc="3D624AF4" w:tentative="1">
      <w:start w:val="1"/>
      <w:numFmt w:val="bullet"/>
      <w:lvlText w:val="o"/>
      <w:lvlJc w:val="left"/>
      <w:pPr>
        <w:ind w:left="4197" w:hanging="360"/>
      </w:pPr>
      <w:rPr>
        <w:rFonts w:ascii="Courier New" w:hAnsi="Courier New" w:cs="Courier New" w:hint="default"/>
      </w:rPr>
    </w:lvl>
    <w:lvl w:ilvl="5" w:tplc="01B6E1B2" w:tentative="1">
      <w:start w:val="1"/>
      <w:numFmt w:val="bullet"/>
      <w:lvlText w:val=""/>
      <w:lvlJc w:val="left"/>
      <w:pPr>
        <w:ind w:left="4917" w:hanging="360"/>
      </w:pPr>
      <w:rPr>
        <w:rFonts w:ascii="Wingdings" w:hAnsi="Wingdings" w:hint="default"/>
      </w:rPr>
    </w:lvl>
    <w:lvl w:ilvl="6" w:tplc="02888FBA" w:tentative="1">
      <w:start w:val="1"/>
      <w:numFmt w:val="bullet"/>
      <w:lvlText w:val=""/>
      <w:lvlJc w:val="left"/>
      <w:pPr>
        <w:ind w:left="5637" w:hanging="360"/>
      </w:pPr>
      <w:rPr>
        <w:rFonts w:ascii="Symbol" w:hAnsi="Symbol" w:hint="default"/>
      </w:rPr>
    </w:lvl>
    <w:lvl w:ilvl="7" w:tplc="79E241EC" w:tentative="1">
      <w:start w:val="1"/>
      <w:numFmt w:val="bullet"/>
      <w:lvlText w:val="o"/>
      <w:lvlJc w:val="left"/>
      <w:pPr>
        <w:ind w:left="6357" w:hanging="360"/>
      </w:pPr>
      <w:rPr>
        <w:rFonts w:ascii="Courier New" w:hAnsi="Courier New" w:cs="Courier New" w:hint="default"/>
      </w:rPr>
    </w:lvl>
    <w:lvl w:ilvl="8" w:tplc="85E06CC6" w:tentative="1">
      <w:start w:val="1"/>
      <w:numFmt w:val="bullet"/>
      <w:lvlText w:val=""/>
      <w:lvlJc w:val="left"/>
      <w:pPr>
        <w:ind w:left="7077" w:hanging="360"/>
      </w:pPr>
      <w:rPr>
        <w:rFonts w:ascii="Wingdings" w:hAnsi="Wingdings" w:hint="default"/>
      </w:rPr>
    </w:lvl>
  </w:abstractNum>
  <w:abstractNum w:abstractNumId="4" w15:restartNumberingAfterBreak="1">
    <w:nsid w:val="759D4D12"/>
    <w:multiLevelType w:val="multilevel"/>
    <w:tmpl w:val="D8586202"/>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0051784">
    <w:abstractNumId w:val="4"/>
  </w:num>
  <w:num w:numId="2" w16cid:durableId="629478178">
    <w:abstractNumId w:val="3"/>
  </w:num>
  <w:num w:numId="3" w16cid:durableId="1901676085">
    <w:abstractNumId w:val="0"/>
  </w:num>
  <w:num w:numId="4" w16cid:durableId="382094452">
    <w:abstractNumId w:val="1"/>
  </w:num>
  <w:num w:numId="5" w16cid:durableId="430665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9B"/>
    <w:rsid w:val="000000A9"/>
    <w:rsid w:val="000049B9"/>
    <w:rsid w:val="00021BBD"/>
    <w:rsid w:val="00032A15"/>
    <w:rsid w:val="000452AA"/>
    <w:rsid w:val="00067C16"/>
    <w:rsid w:val="0007679E"/>
    <w:rsid w:val="000875C6"/>
    <w:rsid w:val="0009452E"/>
    <w:rsid w:val="000A4639"/>
    <w:rsid w:val="000A5EFF"/>
    <w:rsid w:val="000B4C72"/>
    <w:rsid w:val="000B7DDF"/>
    <w:rsid w:val="000C3029"/>
    <w:rsid w:val="000D2C2C"/>
    <w:rsid w:val="000D2F63"/>
    <w:rsid w:val="000E11D3"/>
    <w:rsid w:val="000E2155"/>
    <w:rsid w:val="000E7CBC"/>
    <w:rsid w:val="000F3DF5"/>
    <w:rsid w:val="000F457F"/>
    <w:rsid w:val="00123336"/>
    <w:rsid w:val="00133A12"/>
    <w:rsid w:val="00137475"/>
    <w:rsid w:val="001414CF"/>
    <w:rsid w:val="00143C86"/>
    <w:rsid w:val="0014638D"/>
    <w:rsid w:val="0015149A"/>
    <w:rsid w:val="001615D7"/>
    <w:rsid w:val="00161672"/>
    <w:rsid w:val="001631ED"/>
    <w:rsid w:val="001635A7"/>
    <w:rsid w:val="00174FB3"/>
    <w:rsid w:val="00180194"/>
    <w:rsid w:val="001A63AF"/>
    <w:rsid w:val="001A6FF9"/>
    <w:rsid w:val="001B1D5D"/>
    <w:rsid w:val="001B21E4"/>
    <w:rsid w:val="001B259B"/>
    <w:rsid w:val="001C23D8"/>
    <w:rsid w:val="001C2D89"/>
    <w:rsid w:val="00202971"/>
    <w:rsid w:val="00226C9C"/>
    <w:rsid w:val="0024636A"/>
    <w:rsid w:val="002A7D9F"/>
    <w:rsid w:val="002B0AE3"/>
    <w:rsid w:val="002B7724"/>
    <w:rsid w:val="002C4335"/>
    <w:rsid w:val="002D50CF"/>
    <w:rsid w:val="002E4D0F"/>
    <w:rsid w:val="002E4F55"/>
    <w:rsid w:val="003120D7"/>
    <w:rsid w:val="00322CB5"/>
    <w:rsid w:val="00353309"/>
    <w:rsid w:val="003572EB"/>
    <w:rsid w:val="003678C5"/>
    <w:rsid w:val="003937D2"/>
    <w:rsid w:val="003A03B9"/>
    <w:rsid w:val="003B58EB"/>
    <w:rsid w:val="003C0F47"/>
    <w:rsid w:val="003C4960"/>
    <w:rsid w:val="003D6E1C"/>
    <w:rsid w:val="003E20BB"/>
    <w:rsid w:val="003E25C4"/>
    <w:rsid w:val="003E5A12"/>
    <w:rsid w:val="004221C0"/>
    <w:rsid w:val="00423B34"/>
    <w:rsid w:val="00431C0E"/>
    <w:rsid w:val="0047377E"/>
    <w:rsid w:val="00480C9A"/>
    <w:rsid w:val="00486CAD"/>
    <w:rsid w:val="00491371"/>
    <w:rsid w:val="004A56FF"/>
    <w:rsid w:val="004B3661"/>
    <w:rsid w:val="004B3D72"/>
    <w:rsid w:val="004C0870"/>
    <w:rsid w:val="00525878"/>
    <w:rsid w:val="00527D4C"/>
    <w:rsid w:val="00547C30"/>
    <w:rsid w:val="005632A4"/>
    <w:rsid w:val="00565963"/>
    <w:rsid w:val="00574B2E"/>
    <w:rsid w:val="005752E6"/>
    <w:rsid w:val="00594116"/>
    <w:rsid w:val="005B3518"/>
    <w:rsid w:val="005C300F"/>
    <w:rsid w:val="005E1F8A"/>
    <w:rsid w:val="005E5CF5"/>
    <w:rsid w:val="005F38ED"/>
    <w:rsid w:val="00614758"/>
    <w:rsid w:val="00625C90"/>
    <w:rsid w:val="006337E8"/>
    <w:rsid w:val="006458F4"/>
    <w:rsid w:val="006742BE"/>
    <w:rsid w:val="00677826"/>
    <w:rsid w:val="0069693A"/>
    <w:rsid w:val="00697DCB"/>
    <w:rsid w:val="006A7C4A"/>
    <w:rsid w:val="006C65CF"/>
    <w:rsid w:val="006F7CB1"/>
    <w:rsid w:val="00705DFF"/>
    <w:rsid w:val="00720B53"/>
    <w:rsid w:val="007325ED"/>
    <w:rsid w:val="007373ED"/>
    <w:rsid w:val="007423D5"/>
    <w:rsid w:val="0074638E"/>
    <w:rsid w:val="007473D3"/>
    <w:rsid w:val="00753F9E"/>
    <w:rsid w:val="00754E2A"/>
    <w:rsid w:val="00760579"/>
    <w:rsid w:val="00764D3B"/>
    <w:rsid w:val="00772039"/>
    <w:rsid w:val="00772B9B"/>
    <w:rsid w:val="00791D46"/>
    <w:rsid w:val="007B0A4E"/>
    <w:rsid w:val="007D51D3"/>
    <w:rsid w:val="007E0932"/>
    <w:rsid w:val="007E1B53"/>
    <w:rsid w:val="007E5194"/>
    <w:rsid w:val="007F509A"/>
    <w:rsid w:val="00814154"/>
    <w:rsid w:val="0082115E"/>
    <w:rsid w:val="00827506"/>
    <w:rsid w:val="00830A67"/>
    <w:rsid w:val="00865948"/>
    <w:rsid w:val="00875CD7"/>
    <w:rsid w:val="008B5660"/>
    <w:rsid w:val="008B64F3"/>
    <w:rsid w:val="008B72F6"/>
    <w:rsid w:val="008D0753"/>
    <w:rsid w:val="008D22FE"/>
    <w:rsid w:val="008D422C"/>
    <w:rsid w:val="008D7CBF"/>
    <w:rsid w:val="008E3439"/>
    <w:rsid w:val="008F476A"/>
    <w:rsid w:val="00902DC4"/>
    <w:rsid w:val="0090462C"/>
    <w:rsid w:val="009133BF"/>
    <w:rsid w:val="00922C75"/>
    <w:rsid w:val="00932704"/>
    <w:rsid w:val="00933E37"/>
    <w:rsid w:val="009725A2"/>
    <w:rsid w:val="0098158F"/>
    <w:rsid w:val="00984ABE"/>
    <w:rsid w:val="009869C0"/>
    <w:rsid w:val="0099621C"/>
    <w:rsid w:val="009B0534"/>
    <w:rsid w:val="009B359E"/>
    <w:rsid w:val="009B6354"/>
    <w:rsid w:val="009C0A6E"/>
    <w:rsid w:val="009F048D"/>
    <w:rsid w:val="00A06786"/>
    <w:rsid w:val="00A070E4"/>
    <w:rsid w:val="00A1728D"/>
    <w:rsid w:val="00A326F5"/>
    <w:rsid w:val="00A45CA2"/>
    <w:rsid w:val="00A51623"/>
    <w:rsid w:val="00A630AE"/>
    <w:rsid w:val="00A7357A"/>
    <w:rsid w:val="00A74D9E"/>
    <w:rsid w:val="00A75176"/>
    <w:rsid w:val="00A76D4F"/>
    <w:rsid w:val="00AB127D"/>
    <w:rsid w:val="00AC05BB"/>
    <w:rsid w:val="00AD0EC7"/>
    <w:rsid w:val="00AD4B46"/>
    <w:rsid w:val="00AE3627"/>
    <w:rsid w:val="00AE42CD"/>
    <w:rsid w:val="00AE49AA"/>
    <w:rsid w:val="00AF19B1"/>
    <w:rsid w:val="00AF3D76"/>
    <w:rsid w:val="00B06562"/>
    <w:rsid w:val="00B147C1"/>
    <w:rsid w:val="00B25586"/>
    <w:rsid w:val="00B268D0"/>
    <w:rsid w:val="00B30F95"/>
    <w:rsid w:val="00B40CC0"/>
    <w:rsid w:val="00B479DA"/>
    <w:rsid w:val="00B54359"/>
    <w:rsid w:val="00B61022"/>
    <w:rsid w:val="00B8060D"/>
    <w:rsid w:val="00B8458E"/>
    <w:rsid w:val="00B91356"/>
    <w:rsid w:val="00B92819"/>
    <w:rsid w:val="00B95A78"/>
    <w:rsid w:val="00B979C8"/>
    <w:rsid w:val="00BB7E72"/>
    <w:rsid w:val="00BC5414"/>
    <w:rsid w:val="00BD0129"/>
    <w:rsid w:val="00BD1A1A"/>
    <w:rsid w:val="00BD56D6"/>
    <w:rsid w:val="00BD5AEC"/>
    <w:rsid w:val="00BE4316"/>
    <w:rsid w:val="00C13957"/>
    <w:rsid w:val="00C17E4B"/>
    <w:rsid w:val="00C20646"/>
    <w:rsid w:val="00C35CB0"/>
    <w:rsid w:val="00C411DB"/>
    <w:rsid w:val="00C603BF"/>
    <w:rsid w:val="00C63E93"/>
    <w:rsid w:val="00C708AF"/>
    <w:rsid w:val="00C816B6"/>
    <w:rsid w:val="00C83433"/>
    <w:rsid w:val="00C86AED"/>
    <w:rsid w:val="00C87C2B"/>
    <w:rsid w:val="00CD246E"/>
    <w:rsid w:val="00CE60E5"/>
    <w:rsid w:val="00D04240"/>
    <w:rsid w:val="00D23865"/>
    <w:rsid w:val="00D32192"/>
    <w:rsid w:val="00D33CBC"/>
    <w:rsid w:val="00D345C8"/>
    <w:rsid w:val="00D4766C"/>
    <w:rsid w:val="00D61947"/>
    <w:rsid w:val="00D62A08"/>
    <w:rsid w:val="00D64953"/>
    <w:rsid w:val="00D94737"/>
    <w:rsid w:val="00DB195D"/>
    <w:rsid w:val="00DB255D"/>
    <w:rsid w:val="00DC0BA2"/>
    <w:rsid w:val="00DC2943"/>
    <w:rsid w:val="00DC2AA5"/>
    <w:rsid w:val="00DC5506"/>
    <w:rsid w:val="00DC7D5F"/>
    <w:rsid w:val="00DD4D1B"/>
    <w:rsid w:val="00E0402A"/>
    <w:rsid w:val="00E153E1"/>
    <w:rsid w:val="00E165C8"/>
    <w:rsid w:val="00E40D10"/>
    <w:rsid w:val="00E551F2"/>
    <w:rsid w:val="00E6790E"/>
    <w:rsid w:val="00E70CFB"/>
    <w:rsid w:val="00E83A33"/>
    <w:rsid w:val="00E8794D"/>
    <w:rsid w:val="00E87A09"/>
    <w:rsid w:val="00E909F6"/>
    <w:rsid w:val="00E9231B"/>
    <w:rsid w:val="00E9310C"/>
    <w:rsid w:val="00E963FB"/>
    <w:rsid w:val="00EA407D"/>
    <w:rsid w:val="00EB2638"/>
    <w:rsid w:val="00EB6515"/>
    <w:rsid w:val="00EC3FA9"/>
    <w:rsid w:val="00EC5ACB"/>
    <w:rsid w:val="00EC6764"/>
    <w:rsid w:val="00EE4862"/>
    <w:rsid w:val="00EE7537"/>
    <w:rsid w:val="00EE7FF5"/>
    <w:rsid w:val="00EF7A9A"/>
    <w:rsid w:val="00F03327"/>
    <w:rsid w:val="00F213DE"/>
    <w:rsid w:val="00F3163C"/>
    <w:rsid w:val="00F5470F"/>
    <w:rsid w:val="00F54C05"/>
    <w:rsid w:val="00F610D5"/>
    <w:rsid w:val="00F85252"/>
    <w:rsid w:val="00F85B81"/>
    <w:rsid w:val="00F90A37"/>
    <w:rsid w:val="00F96A4B"/>
    <w:rsid w:val="00FB781C"/>
    <w:rsid w:val="00FB7A59"/>
    <w:rsid w:val="00FC0A8E"/>
    <w:rsid w:val="00FD48A2"/>
    <w:rsid w:val="00FD49B6"/>
    <w:rsid w:val="00FD4B40"/>
    <w:rsid w:val="00FF31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1E32"/>
  <w15:chartTrackingRefBased/>
  <w15:docId w15:val="{818F2529-B09A-484E-9DBD-EC77AA66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B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2B9B"/>
  </w:style>
  <w:style w:type="paragraph" w:styleId="Footer">
    <w:name w:val="footer"/>
    <w:basedOn w:val="Normal"/>
    <w:link w:val="FooterChar"/>
    <w:uiPriority w:val="99"/>
    <w:unhideWhenUsed/>
    <w:rsid w:val="00772B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2B9B"/>
  </w:style>
  <w:style w:type="paragraph" w:styleId="ListParagraph">
    <w:name w:val="List Paragraph"/>
    <w:basedOn w:val="Normal"/>
    <w:link w:val="ListParagraphChar"/>
    <w:uiPriority w:val="34"/>
    <w:qFormat/>
    <w:rsid w:val="00772B9B"/>
    <w:pPr>
      <w:ind w:left="720"/>
      <w:contextualSpacing/>
    </w:pPr>
  </w:style>
  <w:style w:type="character" w:customStyle="1" w:styleId="ListParagraphChar">
    <w:name w:val="List Paragraph Char"/>
    <w:link w:val="ListParagraph"/>
    <w:uiPriority w:val="34"/>
    <w:rsid w:val="00772B9B"/>
  </w:style>
  <w:style w:type="table" w:styleId="TableGrid">
    <w:name w:val="Table Grid"/>
    <w:basedOn w:val="TableNormal"/>
    <w:uiPriority w:val="39"/>
    <w:rsid w:val="0077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2B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72B9B"/>
    <w:rPr>
      <w:b/>
      <w:bCs/>
    </w:rPr>
  </w:style>
  <w:style w:type="character" w:styleId="Hyperlink">
    <w:name w:val="Hyperlink"/>
    <w:basedOn w:val="DefaultParagraphFont"/>
    <w:uiPriority w:val="99"/>
    <w:unhideWhenUsed/>
    <w:rsid w:val="00772B9B"/>
    <w:rPr>
      <w:color w:val="0563C1" w:themeColor="hyperlink"/>
      <w:u w:val="single"/>
    </w:rPr>
  </w:style>
  <w:style w:type="paragraph" w:customStyle="1" w:styleId="tv213">
    <w:name w:val="tv213"/>
    <w:basedOn w:val="Normal"/>
    <w:rsid w:val="00772B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PageNumber">
    <w:name w:val="page number"/>
    <w:basedOn w:val="DefaultParagraphFont"/>
    <w:rsid w:val="00772B9B"/>
  </w:style>
  <w:style w:type="character" w:styleId="CommentReference">
    <w:name w:val="annotation reference"/>
    <w:basedOn w:val="DefaultParagraphFont"/>
    <w:uiPriority w:val="99"/>
    <w:semiHidden/>
    <w:unhideWhenUsed/>
    <w:rsid w:val="00791D46"/>
    <w:rPr>
      <w:sz w:val="16"/>
      <w:szCs w:val="16"/>
    </w:rPr>
  </w:style>
  <w:style w:type="paragraph" w:styleId="CommentText">
    <w:name w:val="annotation text"/>
    <w:basedOn w:val="Normal"/>
    <w:link w:val="CommentTextChar"/>
    <w:uiPriority w:val="99"/>
    <w:unhideWhenUsed/>
    <w:rsid w:val="00791D46"/>
    <w:pPr>
      <w:spacing w:line="240" w:lineRule="auto"/>
    </w:pPr>
    <w:rPr>
      <w:sz w:val="20"/>
      <w:szCs w:val="20"/>
    </w:rPr>
  </w:style>
  <w:style w:type="character" w:customStyle="1" w:styleId="CommentTextChar">
    <w:name w:val="Comment Text Char"/>
    <w:basedOn w:val="DefaultParagraphFont"/>
    <w:link w:val="CommentText"/>
    <w:uiPriority w:val="99"/>
    <w:rsid w:val="00791D46"/>
    <w:rPr>
      <w:sz w:val="20"/>
      <w:szCs w:val="20"/>
    </w:rPr>
  </w:style>
  <w:style w:type="paragraph" w:styleId="CommentSubject">
    <w:name w:val="annotation subject"/>
    <w:basedOn w:val="CommentText"/>
    <w:next w:val="CommentText"/>
    <w:link w:val="CommentSubjectChar"/>
    <w:uiPriority w:val="99"/>
    <w:semiHidden/>
    <w:unhideWhenUsed/>
    <w:rsid w:val="00791D46"/>
    <w:rPr>
      <w:b/>
      <w:bCs/>
    </w:rPr>
  </w:style>
  <w:style w:type="character" w:customStyle="1" w:styleId="CommentSubjectChar">
    <w:name w:val="Comment Subject Char"/>
    <w:basedOn w:val="CommentTextChar"/>
    <w:link w:val="CommentSubject"/>
    <w:uiPriority w:val="99"/>
    <w:semiHidden/>
    <w:rsid w:val="00791D46"/>
    <w:rPr>
      <w:b/>
      <w:bCs/>
      <w:sz w:val="20"/>
      <w:szCs w:val="20"/>
    </w:rPr>
  </w:style>
  <w:style w:type="paragraph" w:styleId="BalloonText">
    <w:name w:val="Balloon Text"/>
    <w:basedOn w:val="Normal"/>
    <w:link w:val="BalloonTextChar"/>
    <w:uiPriority w:val="99"/>
    <w:semiHidden/>
    <w:unhideWhenUsed/>
    <w:rsid w:val="00791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46"/>
    <w:rPr>
      <w:rFonts w:ascii="Segoe UI" w:hAnsi="Segoe UI" w:cs="Segoe UI"/>
      <w:sz w:val="18"/>
      <w:szCs w:val="18"/>
    </w:rPr>
  </w:style>
  <w:style w:type="character" w:customStyle="1" w:styleId="UnresolvedMention1">
    <w:name w:val="Unresolved Mention1"/>
    <w:basedOn w:val="DefaultParagraphFont"/>
    <w:uiPriority w:val="99"/>
    <w:rsid w:val="00226C9C"/>
    <w:rPr>
      <w:color w:val="605E5C"/>
      <w:shd w:val="clear" w:color="auto" w:fill="E1DFDD"/>
    </w:rPr>
  </w:style>
  <w:style w:type="character" w:styleId="UnresolvedMention">
    <w:name w:val="Unresolved Mention"/>
    <w:basedOn w:val="DefaultParagraphFont"/>
    <w:uiPriority w:val="99"/>
    <w:rsid w:val="002B0AE3"/>
    <w:rPr>
      <w:color w:val="605E5C"/>
      <w:shd w:val="clear" w:color="auto" w:fill="E1DFDD"/>
    </w:rPr>
  </w:style>
  <w:style w:type="paragraph" w:styleId="Revision">
    <w:name w:val="Revision"/>
    <w:hidden/>
    <w:uiPriority w:val="99"/>
    <w:semiHidden/>
    <w:rsid w:val="002D50CF"/>
    <w:pPr>
      <w:spacing w:after="0" w:line="240" w:lineRule="auto"/>
    </w:pPr>
  </w:style>
  <w:style w:type="character" w:styleId="FollowedHyperlink">
    <w:name w:val="FollowedHyperlink"/>
    <w:basedOn w:val="DefaultParagraphFont"/>
    <w:uiPriority w:val="99"/>
    <w:semiHidden/>
    <w:unhideWhenUsed/>
    <w:rsid w:val="00C83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hyperlink" Target="mailto:Maija.Kavosa@bvkb.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tel:+371%202866740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s.gov.lv" TargetMode="External"/><Relationship Id="rId5" Type="http://schemas.openxmlformats.org/officeDocument/2006/relationships/footnotes" Target="footnotes.xml"/><Relationship Id="rId15" Type="http://schemas.openxmlformats.org/officeDocument/2006/relationships/package" Target="embeddings/Microsoft_Visio_Drawing1.vsdx"/><Relationship Id="rId10" Type="http://schemas.openxmlformats.org/officeDocument/2006/relationships/hyperlink" Target="http://www.bis.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is.gov.lv"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23529</Words>
  <Characters>13412</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Arnita Lūse-Grīnberga</dc:creator>
  <cp:lastModifiedBy>Elīna Balgalve</cp:lastModifiedBy>
  <cp:revision>2</cp:revision>
  <dcterms:created xsi:type="dcterms:W3CDTF">2023-11-29T12:35:00Z</dcterms:created>
  <dcterms:modified xsi:type="dcterms:W3CDTF">2023-11-29T12:35:00Z</dcterms:modified>
</cp:coreProperties>
</file>