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17D2" w14:textId="2C30C74F" w:rsidR="00244251" w:rsidRPr="00FF298C" w:rsidRDefault="00147B43">
      <w:pPr>
        <w:pStyle w:val="Title"/>
        <w:rPr>
          <w:rStyle w:val="Emphasis"/>
          <w:i w:val="0"/>
          <w:iCs w:val="0"/>
        </w:rPr>
      </w:pPr>
      <w:r w:rsidRPr="00FF298C">
        <w:rPr>
          <w:rStyle w:val="Emphasis"/>
          <w:i w:val="0"/>
        </w:rPr>
        <w:t xml:space="preserve">DARBA </w:t>
      </w:r>
      <w:r w:rsidRPr="00FF298C">
        <w:rPr>
          <w:rStyle w:val="Emphasis"/>
          <w:i w:val="0"/>
          <w:iCs w:val="0"/>
        </w:rPr>
        <w:t xml:space="preserve">UZDEVUMS </w:t>
      </w:r>
    </w:p>
    <w:p w14:paraId="6850AB54" w14:textId="2B3C8B91" w:rsidR="00244251" w:rsidRPr="00FF298C" w:rsidRDefault="00147B43">
      <w:pPr>
        <w:pStyle w:val="Title"/>
        <w:rPr>
          <w:rStyle w:val="Emphasis"/>
          <w:i w:val="0"/>
          <w:iCs w:val="0"/>
        </w:rPr>
      </w:pPr>
      <w:r w:rsidRPr="00FF298C">
        <w:rPr>
          <w:rStyle w:val="Emphasis"/>
          <w:i w:val="0"/>
          <w:iCs w:val="0"/>
        </w:rPr>
        <w:t xml:space="preserve">Pie vispārīgās vienošanās Nr. </w:t>
      </w:r>
      <w:r w:rsidR="00032241" w:rsidRPr="00FF298C">
        <w:rPr>
          <w:rStyle w:val="Emphasis"/>
          <w:i w:val="0"/>
          <w:iCs w:val="0"/>
        </w:rPr>
        <w:t>VRAA EIS 2020/13/AK/CI-118_PKP</w:t>
      </w:r>
    </w:p>
    <w:p w14:paraId="79C99FC3" w14:textId="3710F510" w:rsidR="00244251" w:rsidRPr="00FF298C" w:rsidRDefault="00147B43">
      <w:pPr>
        <w:pStyle w:val="Title"/>
        <w:rPr>
          <w:rStyle w:val="Emphasis"/>
          <w:i w:val="0"/>
          <w:iCs w:val="0"/>
        </w:rPr>
      </w:pPr>
      <w:r w:rsidRPr="00FF298C">
        <w:rPr>
          <w:rStyle w:val="Emphasis"/>
          <w:i w:val="0"/>
          <w:iCs w:val="0"/>
        </w:rPr>
        <w:t>Darījumam: BVKB/2021</w:t>
      </w:r>
      <w:r w:rsidR="00336434" w:rsidRPr="00FF298C">
        <w:rPr>
          <w:rStyle w:val="Emphasis"/>
          <w:i w:val="0"/>
          <w:iCs w:val="0"/>
        </w:rPr>
        <w:t>/</w:t>
      </w:r>
      <w:r w:rsidR="00830AF3">
        <w:rPr>
          <w:rStyle w:val="Emphasis"/>
          <w:i w:val="0"/>
          <w:iCs w:val="0"/>
        </w:rPr>
        <w:t>___</w:t>
      </w:r>
    </w:p>
    <w:p w14:paraId="4304CA0C" w14:textId="77777777" w:rsidR="009E45B8" w:rsidRPr="00FF298C" w:rsidRDefault="009E45B8" w:rsidP="009E45B8"/>
    <w:p w14:paraId="4702EB68" w14:textId="77777777" w:rsidR="00244251" w:rsidRPr="00FF298C" w:rsidRDefault="00147B43">
      <w:pPr>
        <w:spacing w:before="100" w:beforeAutospacing="1" w:after="100" w:afterAutospacing="1" w:line="240" w:lineRule="auto"/>
        <w:ind w:left="5670" w:hanging="5670"/>
        <w:outlineLvl w:val="0"/>
        <w:rPr>
          <w:i/>
          <w:iCs/>
        </w:rPr>
      </w:pPr>
      <w:r w:rsidRPr="00FF298C">
        <w:t>Rīgā,</w:t>
      </w:r>
      <w:r w:rsidRPr="00FF298C">
        <w:tab/>
      </w:r>
      <w:r w:rsidRPr="00FF298C">
        <w:rPr>
          <w:i/>
          <w:iCs/>
        </w:rPr>
        <w:t>Dokumenta spēkā stāšanās datums ir tā elektroniskās parakstīšanas datums</w:t>
      </w:r>
    </w:p>
    <w:p w14:paraId="560DE074" w14:textId="00107AC2" w:rsidR="00244251" w:rsidRPr="00FF298C" w:rsidRDefault="00147B43">
      <w:pPr>
        <w:spacing w:after="120"/>
        <w:jc w:val="both"/>
        <w:rPr>
          <w:szCs w:val="24"/>
        </w:rPr>
      </w:pPr>
      <w:r w:rsidRPr="00FF298C">
        <w:rPr>
          <w:b/>
        </w:rPr>
        <w:t>Būvniecības valsts kontroles birojs</w:t>
      </w:r>
      <w:r w:rsidRPr="00FF298C">
        <w:t xml:space="preserve">, reģistrācijas Nr. 90010386959, tā </w:t>
      </w:r>
      <w:bookmarkStart w:id="0" w:name="_Hlk86134036"/>
      <w:r w:rsidRPr="00FF298C">
        <w:t>direktor</w:t>
      </w:r>
      <w:r w:rsidR="00136545" w:rsidRPr="00FF298C">
        <w:t>es</w:t>
      </w:r>
      <w:r w:rsidRPr="00FF298C">
        <w:t xml:space="preserve"> </w:t>
      </w:r>
      <w:r w:rsidR="00136545" w:rsidRPr="00FF298C">
        <w:t>Svetlanas Mjakuškinas</w:t>
      </w:r>
      <w:r w:rsidRPr="00FF298C">
        <w:t xml:space="preserve"> </w:t>
      </w:r>
      <w:bookmarkEnd w:id="0"/>
      <w:r w:rsidRPr="00FF298C">
        <w:t>personā, kura rīkojas saskaņā ar Ministru kabineta 2014. gada 30. septembra noteikum</w:t>
      </w:r>
      <w:r w:rsidR="00A131E1" w:rsidRPr="00FF298C">
        <w:t>u</w:t>
      </w:r>
      <w:r w:rsidRPr="00FF298C">
        <w:t xml:space="preserve"> Nr. 576 “Būvniecības valsts kontroles biroja nolikums” </w:t>
      </w:r>
      <w:r w:rsidR="000E37EE" w:rsidRPr="00FF298C">
        <w:t>8</w:t>
      </w:r>
      <w:r w:rsidR="005411A9" w:rsidRPr="00FF298C">
        <w:t>.</w:t>
      </w:r>
      <w:r w:rsidR="00202E6C" w:rsidRPr="00FF298C">
        <w:t>2.apakš</w:t>
      </w:r>
      <w:r w:rsidR="000E37EE" w:rsidRPr="00FF298C">
        <w:t xml:space="preserve">punktu </w:t>
      </w:r>
      <w:r w:rsidRPr="00FF298C">
        <w:t>(turpmāk – Pasūtītājs)</w:t>
      </w:r>
      <w:r w:rsidRPr="00FF298C">
        <w:rPr>
          <w:bCs/>
          <w:szCs w:val="24"/>
        </w:rPr>
        <w:t>, no vienas puses</w:t>
      </w:r>
      <w:r w:rsidRPr="00FF298C">
        <w:rPr>
          <w:szCs w:val="24"/>
        </w:rPr>
        <w:t xml:space="preserve"> un </w:t>
      </w:r>
    </w:p>
    <w:p w14:paraId="2F750213" w14:textId="36C8D22F" w:rsidR="00336434" w:rsidRPr="00FF298C" w:rsidRDefault="001A7B52" w:rsidP="001A7B52">
      <w:pPr>
        <w:spacing w:after="120"/>
        <w:jc w:val="both"/>
        <w:rPr>
          <w:szCs w:val="24"/>
        </w:rPr>
      </w:pPr>
      <w:r w:rsidRPr="00FF298C">
        <w:rPr>
          <w:b/>
          <w:bCs/>
          <w:szCs w:val="24"/>
        </w:rPr>
        <w:t>Sabiedrība ar ierobežotu atbildību “</w:t>
      </w:r>
      <w:r w:rsidR="00C03BC3" w:rsidRPr="00FF298C">
        <w:rPr>
          <w:b/>
          <w:bCs/>
          <w:szCs w:val="24"/>
        </w:rPr>
        <w:t>__________</w:t>
      </w:r>
      <w:r w:rsidRPr="00FF298C">
        <w:rPr>
          <w:b/>
          <w:bCs/>
          <w:szCs w:val="24"/>
        </w:rPr>
        <w:t>”</w:t>
      </w:r>
      <w:r w:rsidRPr="00FF298C">
        <w:rPr>
          <w:szCs w:val="24"/>
        </w:rPr>
        <w:t xml:space="preserve"> (reģ.Nr. </w:t>
      </w:r>
      <w:r w:rsidR="00C03BC3" w:rsidRPr="00FF298C">
        <w:rPr>
          <w:szCs w:val="24"/>
        </w:rPr>
        <w:t>__________</w:t>
      </w:r>
      <w:r w:rsidRPr="00FF298C">
        <w:rPr>
          <w:szCs w:val="24"/>
        </w:rPr>
        <w:t>), tā</w:t>
      </w:r>
      <w:r w:rsidR="00C03BC3" w:rsidRPr="00FF298C">
        <w:rPr>
          <w:szCs w:val="24"/>
        </w:rPr>
        <w:t>s</w:t>
      </w:r>
      <w:r w:rsidRPr="00FF298C">
        <w:rPr>
          <w:szCs w:val="24"/>
        </w:rPr>
        <w:t xml:space="preserve"> valdes locekļa </w:t>
      </w:r>
      <w:r w:rsidR="00C03BC3" w:rsidRPr="00FF298C">
        <w:rPr>
          <w:szCs w:val="24"/>
        </w:rPr>
        <w:t>__________</w:t>
      </w:r>
      <w:r w:rsidRPr="00FF298C">
        <w:rPr>
          <w:szCs w:val="24"/>
        </w:rPr>
        <w:t xml:space="preserve"> personā, kurš rīkojas uz sabiedrības statūtu pamata (turpmāk – Izpildītājs), no otras puses, abi kopā saukti kā Puses, bet atsevišķi - Puse, </w:t>
      </w:r>
    </w:p>
    <w:p w14:paraId="614E9CB1" w14:textId="66712124" w:rsidR="00244251" w:rsidRPr="00FF298C" w:rsidRDefault="00147B43" w:rsidP="001A7B52">
      <w:pPr>
        <w:spacing w:after="120"/>
        <w:jc w:val="both"/>
      </w:pPr>
      <w:r w:rsidRPr="00FF298C">
        <w:rPr>
          <w:szCs w:val="24"/>
        </w:rPr>
        <w:t>pamatojoties uz starp Izpildītāju un Valsts reģionālās attīstības aģentūru (turpmāk – VRAA) noslēgto vispārīgo vienošanos Nr. </w:t>
      </w:r>
      <w:r w:rsidR="001A7B52" w:rsidRPr="00FF298C">
        <w:rPr>
          <w:rStyle w:val="Emphasis"/>
          <w:i w:val="0"/>
          <w:iCs w:val="0"/>
        </w:rPr>
        <w:t>VRAA EIS2020/13/AK/CI-118_PKP</w:t>
      </w:r>
      <w:r w:rsidR="001A7B52" w:rsidRPr="00FF298C" w:rsidDel="001A7B52">
        <w:rPr>
          <w:rStyle w:val="Emphasis"/>
          <w:i w:val="0"/>
          <w:iCs w:val="0"/>
        </w:rPr>
        <w:t xml:space="preserve"> </w:t>
      </w:r>
      <w:r w:rsidRPr="00FF298C">
        <w:rPr>
          <w:szCs w:val="24"/>
        </w:rPr>
        <w:t>(turpmāk – Vispārīgā vienošanās), elektronisko iepirkumu sistēmā (turpmāk – EIS) Pušu apstiprināto darījumu Nr. BVKB/</w:t>
      </w:r>
      <w:r w:rsidR="00C03BC3" w:rsidRPr="00FF298C">
        <w:rPr>
          <w:szCs w:val="24"/>
        </w:rPr>
        <w:t>______</w:t>
      </w:r>
      <w:r w:rsidR="00032241" w:rsidRPr="00FF298C">
        <w:rPr>
          <w:szCs w:val="24"/>
        </w:rPr>
        <w:t xml:space="preserve"> </w:t>
      </w:r>
      <w:r w:rsidRPr="00FF298C">
        <w:rPr>
          <w:szCs w:val="24"/>
        </w:rPr>
        <w:t>(turpmāk – Darījums), vienojas par šādu darba uzdevumu (turpmāk – Darba uzdevums).</w:t>
      </w:r>
    </w:p>
    <w:p w14:paraId="1FDE0D0B" w14:textId="409C0975" w:rsidR="00244251" w:rsidRPr="00FF298C" w:rsidRDefault="00147B43">
      <w:pPr>
        <w:pStyle w:val="Heading1"/>
        <w:numPr>
          <w:ilvl w:val="0"/>
          <w:numId w:val="10"/>
        </w:numPr>
      </w:pPr>
      <w:r w:rsidRPr="00FF298C">
        <w:t>Darba uzdevum</w:t>
      </w:r>
      <w:r w:rsidR="0089390D" w:rsidRPr="00FF298C">
        <w:t>a priekšmets</w:t>
      </w:r>
    </w:p>
    <w:p w14:paraId="652BD481" w14:textId="1D114B34" w:rsidR="00993D3A" w:rsidRPr="00FF298C" w:rsidRDefault="00993D3A" w:rsidP="00993D3A">
      <w:pPr>
        <w:pStyle w:val="ListParagraph"/>
      </w:pPr>
      <w:bookmarkStart w:id="1" w:name="_Ref85702570"/>
      <w:r w:rsidRPr="00FF298C">
        <w:t>Pasūtītājs pasūta un Izpildītājs apņemas tehniski un funkcionāli</w:t>
      </w:r>
      <w:r w:rsidR="00136545" w:rsidRPr="00FF298C">
        <w:t xml:space="preserve"> </w:t>
      </w:r>
      <w:r w:rsidRPr="00FF298C">
        <w:t xml:space="preserve">veikt Energoresursu informācijas sistēmas (turpmāk – Sistēma) 2.kārtas </w:t>
      </w:r>
      <w:r w:rsidR="00C03BC3" w:rsidRPr="00FF298C">
        <w:t>2</w:t>
      </w:r>
      <w:r w:rsidRPr="00FF298C">
        <w:t xml:space="preserve">. laidiena programmatūras izstrādi (turpmāk – Darbi). </w:t>
      </w:r>
    </w:p>
    <w:bookmarkEnd w:id="1"/>
    <w:p w14:paraId="0BCD8CA4" w14:textId="76D568FE" w:rsidR="00244251" w:rsidRPr="00FF298C" w:rsidRDefault="00147B43" w:rsidP="00136545">
      <w:pPr>
        <w:pStyle w:val="ListParagraph"/>
      </w:pPr>
      <w:r w:rsidRPr="00FF298C">
        <w:t xml:space="preserve">Izpildītājs veic Darbus saskaņā ar </w:t>
      </w:r>
      <w:r w:rsidR="001F1601" w:rsidRPr="00FF298C">
        <w:t xml:space="preserve">Vispārīgās vienošanās, Darba uzdevuma </w:t>
      </w:r>
      <w:r w:rsidRPr="00FF298C">
        <w:t>noteikumiem un tehniskās specifikācijas “</w:t>
      </w:r>
      <w:r w:rsidR="00136545" w:rsidRPr="00FF298C">
        <w:t xml:space="preserve">ERAF projekta "Ekonomikas ministrijas resora administratīvā procesa digitālā transformācija, Būvniecības informācijas sistēmas moduļa “Energoresursu informācijas sistēma” </w:t>
      </w:r>
      <w:r w:rsidR="00C03BC3" w:rsidRPr="00FF298C">
        <w:t>II</w:t>
      </w:r>
      <w:r w:rsidR="00136545" w:rsidRPr="00FF298C">
        <w:t xml:space="preserve">. kārtas izstrāde. </w:t>
      </w:r>
      <w:r w:rsidR="00C03BC3" w:rsidRPr="00FF298C">
        <w:t>2</w:t>
      </w:r>
      <w:r w:rsidR="00136545" w:rsidRPr="00FF298C">
        <w:t>. laidien</w:t>
      </w:r>
      <w:r w:rsidR="00C03BC3" w:rsidRPr="00FF298C">
        <w:t>a izstrāde</w:t>
      </w:r>
      <w:r w:rsidRPr="00FF298C">
        <w:t>” (</w:t>
      </w:r>
      <w:r w:rsidR="00136545" w:rsidRPr="00FF298C">
        <w:t xml:space="preserve">turpmāk – </w:t>
      </w:r>
      <w:r w:rsidRPr="00FF298C">
        <w:t>Darba uzdevuma pielikums) noteiktām prasībām.</w:t>
      </w:r>
    </w:p>
    <w:p w14:paraId="679937F5" w14:textId="77777777" w:rsidR="00244251" w:rsidRPr="00FF298C" w:rsidRDefault="00147B43">
      <w:pPr>
        <w:pStyle w:val="Heading1"/>
      </w:pPr>
      <w:bookmarkStart w:id="2" w:name="_Ref30489566"/>
      <w:bookmarkStart w:id="3" w:name="_Ref31364104"/>
      <w:bookmarkStart w:id="4" w:name="_Hlk86245948"/>
      <w:r w:rsidRPr="00FF298C">
        <w:t>Izpildes termiņš</w:t>
      </w:r>
    </w:p>
    <w:bookmarkEnd w:id="2"/>
    <w:bookmarkEnd w:id="3"/>
    <w:p w14:paraId="31169534" w14:textId="77777777" w:rsidR="00665FF1" w:rsidRPr="00FF298C" w:rsidRDefault="00665FF1" w:rsidP="00665FF1">
      <w:pPr>
        <w:pStyle w:val="Heading1"/>
        <w:numPr>
          <w:ilvl w:val="0"/>
          <w:numId w:val="0"/>
        </w:numPr>
        <w:ind w:left="357"/>
        <w:jc w:val="left"/>
        <w:rPr>
          <w:b w:val="0"/>
        </w:rPr>
      </w:pPr>
      <w:r w:rsidRPr="00FF298C">
        <w:rPr>
          <w:b w:val="0"/>
        </w:rPr>
        <w:t>Pakalpojuma izpildes termiņi:</w:t>
      </w:r>
    </w:p>
    <w:p w14:paraId="4A66B180" w14:textId="743DEE4F" w:rsidR="00665FF1" w:rsidRPr="00FF298C" w:rsidRDefault="00665FF1" w:rsidP="00665FF1">
      <w:pPr>
        <w:pStyle w:val="Heading1"/>
        <w:numPr>
          <w:ilvl w:val="0"/>
          <w:numId w:val="0"/>
        </w:numPr>
        <w:ind w:left="357"/>
        <w:jc w:val="left"/>
        <w:rPr>
          <w:b w:val="0"/>
        </w:rPr>
      </w:pPr>
      <w:r w:rsidRPr="00FF298C">
        <w:rPr>
          <w:b w:val="0"/>
        </w:rPr>
        <w:t>Pakalpojuma nodrošināšana Sistēmas produkcijas vidē – līdz 2023. gada 16. februārim, ja Pasūtītājs ir pieņēmis lēmumu par Pakalpojuma ieviešanu un ekspluatāciju produkcijas vidē. Ja Pasūtītājs nav pieņēmis lēmumu par Pakalpojuma ieviešanu un ekspluatāciju produkcijas vidē, Izpildītājam līdz 2023. gada 16.janvārim ir jāiesniedz Pasūtītājam programmatūras nodevums, kas saskaņā ar Līguma nosacījumiem ir atbilstošs produktīvajai ekspluatācijai.</w:t>
      </w:r>
    </w:p>
    <w:p w14:paraId="7C049DAC" w14:textId="251C120B" w:rsidR="00244251" w:rsidRPr="00FF298C" w:rsidRDefault="00665FF1" w:rsidP="00665FF1">
      <w:pPr>
        <w:pStyle w:val="Heading1"/>
        <w:numPr>
          <w:ilvl w:val="0"/>
          <w:numId w:val="0"/>
        </w:numPr>
        <w:ind w:left="357"/>
        <w:jc w:val="left"/>
        <w:rPr>
          <w:b w:val="0"/>
        </w:rPr>
      </w:pPr>
      <w:r w:rsidRPr="00FF298C">
        <w:rPr>
          <w:b w:val="0"/>
        </w:rPr>
        <w:t>Tehniskajā specifikācijā minētā dokumentācija – līdz 2023.gada 16. janvārim.</w:t>
      </w:r>
    </w:p>
    <w:p w14:paraId="75308DC7" w14:textId="77777777" w:rsidR="00665FF1" w:rsidRPr="00FF298C" w:rsidRDefault="00665FF1" w:rsidP="00665FF1">
      <w:pPr>
        <w:pStyle w:val="Heading1"/>
        <w:numPr>
          <w:ilvl w:val="0"/>
          <w:numId w:val="0"/>
        </w:numPr>
        <w:ind w:left="357"/>
        <w:jc w:val="left"/>
      </w:pPr>
    </w:p>
    <w:bookmarkEnd w:id="4"/>
    <w:p w14:paraId="53FFDA0E" w14:textId="76A779C4" w:rsidR="00B71627" w:rsidRPr="00FF298C" w:rsidRDefault="0081374A" w:rsidP="00B71627">
      <w:pPr>
        <w:pStyle w:val="Heading1"/>
      </w:pPr>
      <w:r w:rsidRPr="00FF298C">
        <w:t>Darba uzdevuma l</w:t>
      </w:r>
      <w:r w:rsidR="00B71627" w:rsidRPr="00FF298C">
        <w:t>īgumcena</w:t>
      </w:r>
      <w:r w:rsidR="00051688" w:rsidRPr="00FF298C">
        <w:t>,</w:t>
      </w:r>
      <w:r w:rsidR="00B71627" w:rsidRPr="00FF298C">
        <w:t xml:space="preserve"> </w:t>
      </w:r>
      <w:r w:rsidR="00051688" w:rsidRPr="00FF298C">
        <w:t>D</w:t>
      </w:r>
      <w:r w:rsidR="00B71627" w:rsidRPr="00FF298C">
        <w:t>arbu</w:t>
      </w:r>
      <w:r w:rsidR="00051688" w:rsidRPr="00FF298C">
        <w:t xml:space="preserve"> nodošanas-pieņemšanas un</w:t>
      </w:r>
      <w:r w:rsidR="00B71627" w:rsidRPr="00FF298C">
        <w:t xml:space="preserve"> apmaksa</w:t>
      </w:r>
      <w:r w:rsidRPr="00FF298C">
        <w:t>s kārtība</w:t>
      </w:r>
    </w:p>
    <w:p w14:paraId="6F0825ED" w14:textId="56B3B72F" w:rsidR="00B71627" w:rsidRPr="00FF298C" w:rsidRDefault="00B71627" w:rsidP="00B71627">
      <w:pPr>
        <w:pStyle w:val="ListParagraph"/>
      </w:pPr>
      <w:bookmarkStart w:id="5" w:name="_Ref31105978"/>
      <w:r w:rsidRPr="00FF298C">
        <w:t xml:space="preserve">Darba uzdevumā paredzēto darbu kopējais apjoms ir </w:t>
      </w:r>
      <w:r w:rsidR="00C03BC3" w:rsidRPr="00FF298C">
        <w:t xml:space="preserve">_____ </w:t>
      </w:r>
      <w:r w:rsidRPr="00FF298C">
        <w:t>c/h (</w:t>
      </w:r>
      <w:r w:rsidR="00C03BC3" w:rsidRPr="00FF298C">
        <w:t>_________</w:t>
      </w:r>
      <w:r w:rsidRPr="00FF298C">
        <w:t xml:space="preserve">) un </w:t>
      </w:r>
      <w:r w:rsidR="001A7B52" w:rsidRPr="00FF298C">
        <w:t xml:space="preserve"> vienas </w:t>
      </w:r>
      <w:r w:rsidRPr="00FF298C">
        <w:t xml:space="preserve">cilvēkstundas izmaksas ir </w:t>
      </w:r>
      <w:r w:rsidR="00F76980" w:rsidRPr="00FF298C">
        <w:t xml:space="preserve">EUR </w:t>
      </w:r>
      <w:r w:rsidR="00C03BC3" w:rsidRPr="00FF298C">
        <w:t>_________</w:t>
      </w:r>
      <w:r w:rsidRPr="00FF298C">
        <w:t xml:space="preserve"> , neieskaitot pievienotās vērtības nodokli</w:t>
      </w:r>
      <w:r w:rsidR="0081374A" w:rsidRPr="00FF298C">
        <w:t xml:space="preserve">, </w:t>
      </w:r>
      <w:r w:rsidRPr="00FF298C">
        <w:t xml:space="preserve">kas paliek nemainīga visā Līguma izpildes laikā. </w:t>
      </w:r>
    </w:p>
    <w:p w14:paraId="24E5353E" w14:textId="321247AD" w:rsidR="00B71627" w:rsidRPr="00FF298C" w:rsidRDefault="00B71627" w:rsidP="00B71627">
      <w:pPr>
        <w:pStyle w:val="ListParagraph"/>
      </w:pPr>
      <w:r w:rsidRPr="00FF298C">
        <w:lastRenderedPageBreak/>
        <w:t xml:space="preserve">Kopējā atlīdzība par visu Darba izpildi ir </w:t>
      </w:r>
      <w:r w:rsidRPr="00FF298C">
        <w:rPr>
          <w:b/>
          <w:bCs/>
        </w:rPr>
        <w:t xml:space="preserve">EUR </w:t>
      </w:r>
      <w:r w:rsidR="006B7EBC" w:rsidRPr="00FF298C">
        <w:rPr>
          <w:b/>
          <w:bCs/>
        </w:rPr>
        <w:t>________</w:t>
      </w:r>
      <w:r w:rsidRPr="00FF298C">
        <w:rPr>
          <w:b/>
          <w:bCs/>
        </w:rPr>
        <w:t xml:space="preserve">, </w:t>
      </w:r>
      <w:r w:rsidR="0081374A" w:rsidRPr="00FF298C">
        <w:t>neieskaitot pievienotās vērtības nodokli</w:t>
      </w:r>
      <w:r w:rsidRPr="00FF298C">
        <w:t>, ir maksimālā Darba uzdevuma summa, kura var tikt samaksāta Izpildītājam par attiecīga Darba sniegšanu visā Darba uzdevuma darbības laikā. Pasūtītājs maksā pievienotās vērtības nodokli atbilstoši maksājuma veikšanas brīdī spēkā esošajiem normatīvajiem aktiem.</w:t>
      </w:r>
    </w:p>
    <w:p w14:paraId="2845EF83" w14:textId="0254943D" w:rsidR="00763763" w:rsidRPr="00FF298C" w:rsidRDefault="00763763" w:rsidP="00763763">
      <w:pPr>
        <w:pStyle w:val="ListParagraph"/>
      </w:pPr>
      <w:r w:rsidRPr="00FF298C">
        <w:t>Darba uzdevuma ietvaros paredzētās informācijas apmaiņai un Darba uzdevuma izpildei Puses izmanto elektronisku kopdarbības vidi – Jama, kas paredzēta Darba uzdevuma pielikumā norādī</w:t>
      </w:r>
      <w:r w:rsidR="008C274F" w:rsidRPr="00FF298C">
        <w:t>t</w:t>
      </w:r>
      <w:r w:rsidRPr="00FF298C">
        <w:t xml:space="preserve">o kopdarbības iespēju īstenošanai, tai skaitā, informācijas apmaiņai, saskaņošanai un apstiprināšanai, kā arī problēmu, darba uzdevumu un sistēmas papildinājumu saskaņošanai un apstiprināšanai, kļūdu, papildinājumu vai jebkādu citu pakalpojumu pieteikumu reģistrēšanai un izpildes procesa izsekošanai. Darba uzdevuma ietvaros Izpildītājam ir jānodrošina elektroniskā vide, kuru ir iespējams integrēt ar Pasūtītāja elektronisko kopdarbības vidi (Jama) </w:t>
      </w:r>
      <w:r w:rsidR="0057309A" w:rsidRPr="00FF298C">
        <w:t xml:space="preserve">un tai ir jābūt norādītai Pasūtītāja nodrošinātā sinhronizācijas moduļa atbalstīto rīku sarakstā - </w:t>
      </w:r>
      <w:hyperlink r:id="rId8" w:history="1">
        <w:r w:rsidR="0057309A" w:rsidRPr="00FF298C">
          <w:rPr>
            <w:rStyle w:val="Hyperlink"/>
            <w:color w:val="auto"/>
          </w:rPr>
          <w:t>https://docs.tasktop.com/tasktop/supported-repository-versions</w:t>
        </w:r>
      </w:hyperlink>
      <w:r w:rsidR="0057309A" w:rsidRPr="00FF298C">
        <w:t xml:space="preserve">. </w:t>
      </w:r>
      <w:r w:rsidRPr="00FF298C">
        <w:t xml:space="preserve">izmantojot </w:t>
      </w:r>
      <w:proofErr w:type="spellStart"/>
      <w:r w:rsidRPr="00FF298C">
        <w:t>Tasktop</w:t>
      </w:r>
      <w:proofErr w:type="spellEnd"/>
      <w:r w:rsidRPr="00FF298C">
        <w:t xml:space="preserve"> programmatūru (</w:t>
      </w:r>
      <w:proofErr w:type="spellStart"/>
      <w:r w:rsidRPr="00FF298C">
        <w:t>Tasktop</w:t>
      </w:r>
      <w:proofErr w:type="spellEnd"/>
      <w:r w:rsidRPr="00FF298C">
        <w:t xml:space="preserve"> atbalstāmo rīku saraksts pieejams: https://www.tasktop.com/integrations).</w:t>
      </w:r>
      <w:r w:rsidR="00665FF1" w:rsidRPr="00FF298C">
        <w:t xml:space="preserve"> Izpildītājam uz visu projekta realizācijas laiku jārezervē viena, Izpildītāja projekta pārvaldības vides licence ar tiesībām veikt ierakstus un lasīt informāciju (</w:t>
      </w:r>
      <w:proofErr w:type="spellStart"/>
      <w:r w:rsidR="00665FF1" w:rsidRPr="00FF298C">
        <w:t>read</w:t>
      </w:r>
      <w:proofErr w:type="spellEnd"/>
      <w:r w:rsidR="00665FF1" w:rsidRPr="00FF298C">
        <w:t xml:space="preserve"> </w:t>
      </w:r>
      <w:proofErr w:type="spellStart"/>
      <w:r w:rsidR="00665FF1" w:rsidRPr="00FF298C">
        <w:t>and</w:t>
      </w:r>
      <w:proofErr w:type="spellEnd"/>
      <w:r w:rsidR="00665FF1" w:rsidRPr="00FF298C">
        <w:t xml:space="preserve"> </w:t>
      </w:r>
      <w:proofErr w:type="spellStart"/>
      <w:r w:rsidR="00665FF1" w:rsidRPr="00FF298C">
        <w:t>write</w:t>
      </w:r>
      <w:proofErr w:type="spellEnd"/>
      <w:r w:rsidR="00665FF1" w:rsidRPr="00FF298C">
        <w:t>) integrācijas izveidei.</w:t>
      </w:r>
    </w:p>
    <w:p w14:paraId="3AC55C5A" w14:textId="01C79A37" w:rsidR="006F5686" w:rsidRPr="00FF298C" w:rsidRDefault="006F5686" w:rsidP="006F5686">
      <w:pPr>
        <w:pStyle w:val="ListParagraph"/>
      </w:pPr>
      <w:r w:rsidRPr="00FF298C">
        <w:t xml:space="preserve">Darba uzdevumā noteikto Darbu izpilde, atskaišu un nodevumu pieņemšana tiek fiksēta ar Pušu abpusēji parakstītu Darbu nodošanas-pieņemšanas aktu. </w:t>
      </w:r>
      <w:r w:rsidRPr="00FF298C" w:rsidDel="00C1559C">
        <w:t xml:space="preserve">Par Darbu izpildes dienu tiek uzskatīta diena, kad Izpildītāja iesniegto Darbu nodošanas-pieņemšanas aktu ir parakstījis Pasūtītājs. </w:t>
      </w:r>
      <w:r w:rsidR="00F338CA" w:rsidRPr="00FF298C">
        <w:t>A</w:t>
      </w:r>
      <w:r w:rsidR="00C1559C" w:rsidRPr="00FF298C">
        <w:t xml:space="preserve">tskaišu un nodevumu pieņemšanas dokumentus no Pasūtītāja puses paraksta Darba uzdevuma </w:t>
      </w:r>
      <w:r w:rsidR="00DD4A35" w:rsidRPr="00FF298C">
        <w:t>7</w:t>
      </w:r>
      <w:r w:rsidR="00C1559C" w:rsidRPr="00FF298C">
        <w:t>.2.1.apakšpunktā norādīta kontaktpersona.</w:t>
      </w:r>
    </w:p>
    <w:p w14:paraId="24434373" w14:textId="6C886757" w:rsidR="00244251" w:rsidRPr="00FF298C" w:rsidRDefault="00147B43">
      <w:pPr>
        <w:pStyle w:val="ListParagraph"/>
      </w:pPr>
      <w:r w:rsidRPr="00FF298C">
        <w:t>Darbu izpildes rezultātā sagatavotos nodevumu</w:t>
      </w:r>
      <w:r w:rsidR="007D7321" w:rsidRPr="00FF298C">
        <w:t>s</w:t>
      </w:r>
      <w:r w:rsidRPr="00FF298C">
        <w:t xml:space="preserve"> (turpmāk – Nodevumi) Izpildītājs iesniedz Pasūtītājam elektroniski, kopdarbības vidē.</w:t>
      </w:r>
    </w:p>
    <w:p w14:paraId="437F4714" w14:textId="6BCCC3C5" w:rsidR="00244251" w:rsidRPr="00FF298C" w:rsidRDefault="00147B43">
      <w:pPr>
        <w:pStyle w:val="ListParagraph"/>
      </w:pPr>
      <w:r w:rsidRPr="00FF298C">
        <w:t>Pasūtītājs 10 darba dienu laikā izvērtē Izpildītāja iesniegtos Nodevumus un tos apstiprina vai noraida, Pasūtītāja kontaktpersonai elektroniski nosūtot paziņojumu Izpildītāja kontaktpersonai nodevumu precizēšanai, norādot motivētu pamatojumu to nepieņemšanai.</w:t>
      </w:r>
    </w:p>
    <w:p w14:paraId="479102B6" w14:textId="31990224" w:rsidR="00C1559C" w:rsidRPr="00FF298C" w:rsidRDefault="00147B43" w:rsidP="006023D0">
      <w:pPr>
        <w:pStyle w:val="ListParagraph"/>
      </w:pPr>
      <w:r w:rsidRPr="00FF298C">
        <w:t>Nodevumus uzskata par pieņemtiem bez iebildumiem, ja Pasūtītājs Darba uzdevuma noteiktajā termiņā nav izteicis iebildumus un nav konstatējis kļūdas vai neprecizitātes.</w:t>
      </w:r>
    </w:p>
    <w:bookmarkEnd w:id="5"/>
    <w:p w14:paraId="3A0A11D3" w14:textId="3102542E" w:rsidR="00244251" w:rsidRPr="00FF298C" w:rsidRDefault="00147B43">
      <w:pPr>
        <w:pStyle w:val="ListParagraph"/>
      </w:pPr>
      <w:r w:rsidRPr="00FF298C">
        <w:t>Izpildītājs sagatavo elektronisku rēķinu un i</w:t>
      </w:r>
      <w:r w:rsidR="007A31A4" w:rsidRPr="00FF298C">
        <w:t>e</w:t>
      </w:r>
      <w:r w:rsidRPr="00FF298C">
        <w:t xml:space="preserve">sniedz to Pasūtītājam pēc </w:t>
      </w:r>
      <w:r w:rsidR="00E0471A" w:rsidRPr="00FF298C">
        <w:t xml:space="preserve">katra </w:t>
      </w:r>
      <w:r w:rsidRPr="00FF298C">
        <w:t>Darb</w:t>
      </w:r>
      <w:r w:rsidR="00E0471A" w:rsidRPr="00FF298C">
        <w:t>a daļas</w:t>
      </w:r>
      <w:r w:rsidRPr="00FF298C">
        <w:t xml:space="preserve"> nodošanas – pieņemšanas akta abpusējas parakstīšanas dienas. Izpildītājs nosūta rēķinu elektroniski uz Pasūtītāja e-pasta adresi </w:t>
      </w:r>
      <w:hyperlink r:id="rId9" w:history="1">
        <w:r w:rsidR="00D74DC3" w:rsidRPr="00FF298C">
          <w:rPr>
            <w:rStyle w:val="Hyperlink"/>
            <w:color w:val="auto"/>
          </w:rPr>
          <w:t>pasts@bvkb.gov.lv</w:t>
        </w:r>
      </w:hyperlink>
      <w:r w:rsidRPr="00FF298C">
        <w:t>.</w:t>
      </w:r>
    </w:p>
    <w:p w14:paraId="2F5A9B27" w14:textId="7C189195" w:rsidR="00244251" w:rsidRPr="00FF298C" w:rsidRDefault="00147B43">
      <w:pPr>
        <w:pStyle w:val="ListParagraph"/>
      </w:pPr>
      <w:r w:rsidRPr="00FF298C">
        <w:t>Pasūtītājs apmaksā Izpildītāja rēķinu Vispārējā vienošanās noteiktā kārtībā.</w:t>
      </w:r>
    </w:p>
    <w:p w14:paraId="5595FB56" w14:textId="7E1CF1DF" w:rsidR="006F5686" w:rsidRPr="00FF298C" w:rsidRDefault="006F5686" w:rsidP="006F5686">
      <w:pPr>
        <w:pStyle w:val="ListParagraph"/>
        <w:rPr>
          <w:lang w:eastAsia="en-US"/>
        </w:rPr>
      </w:pPr>
      <w:r w:rsidRPr="00FF298C">
        <w:rPr>
          <w:lang w:eastAsia="en-US"/>
        </w:rPr>
        <w:t>Pasūtītājam nav pienākums Darba uzdevuma darbības laikā pasūtīt Darbus pilnā Darba uzdevuma 3.</w:t>
      </w:r>
      <w:r w:rsidR="00E72ADE" w:rsidRPr="00FF298C">
        <w:rPr>
          <w:lang w:eastAsia="en-US"/>
        </w:rPr>
        <w:t>2</w:t>
      </w:r>
      <w:r w:rsidRPr="00FF298C">
        <w:rPr>
          <w:lang w:eastAsia="en-US"/>
        </w:rPr>
        <w:t>.punktā noteiktās kopējas atlīdzības apjomā.</w:t>
      </w:r>
    </w:p>
    <w:p w14:paraId="57419C8E" w14:textId="6BFAAC45" w:rsidR="00B52375" w:rsidRPr="00FF298C" w:rsidRDefault="00B52375" w:rsidP="00B52375">
      <w:pPr>
        <w:pStyle w:val="ListParagraph"/>
      </w:pPr>
      <w:r w:rsidRPr="00FF298C">
        <w:t>Darba uzdevums tiek realizēts Eiropas reģionālā attīstības fonda darbības programmas “Izaugsme un nodarbinātība” 2.2.1.specifiskā atbalsta mērķa “Nodrošināt publisko datu atkalizmantošanas pieaugumu un efektīvu publiskās pārvaldes un privātā sektora mijiedarbību” 2.2.1.1.pasākuma (turpmāk – SAM pasākums) “Centralizētu publiskās pārvaldes IKT platformu izveide, publiskās pārvaldes procesu optimizēšana un attīstība” ietvaros.</w:t>
      </w:r>
    </w:p>
    <w:p w14:paraId="60E48FEC" w14:textId="61445523" w:rsidR="00037031" w:rsidRPr="00FF298C" w:rsidRDefault="00037031" w:rsidP="006B7EBC">
      <w:pPr>
        <w:pStyle w:val="ListParagraph"/>
      </w:pPr>
      <w:r w:rsidRPr="00FF298C">
        <w:t>Izpildītājs, ietekmējot kādu no</w:t>
      </w:r>
      <w:r w:rsidR="006B7EBC" w:rsidRPr="00FF298C">
        <w:t xml:space="preserve"> Sistēmas</w:t>
      </w:r>
      <w:r w:rsidRPr="00FF298C">
        <w:t xml:space="preserve"> 1.kārtā un 2.kārtas 1.laidienā izstrādātās programmatūras apgabaliem, pārņem no iepriekšējā garantijas uzturētāja garantijas </w:t>
      </w:r>
      <w:r w:rsidRPr="00FF298C">
        <w:lastRenderedPageBreak/>
        <w:t>saistības par ietekmēto un</w:t>
      </w:r>
      <w:r w:rsidR="00453C05" w:rsidRPr="00FF298C">
        <w:t xml:space="preserve"> ar to</w:t>
      </w:r>
      <w:r w:rsidRPr="00FF298C">
        <w:t xml:space="preserve"> saistītajiem programmatūras apgabaliem un uztur tās turpmāk atbilstoši Darba uzdevuma pielikumā GP-01 minētajiem nosacījumiem.</w:t>
      </w:r>
    </w:p>
    <w:p w14:paraId="6842C2F3" w14:textId="33E940D8" w:rsidR="000045E1" w:rsidRDefault="00FF298C" w:rsidP="000045E1">
      <w:pPr>
        <w:pStyle w:val="ListParagraph"/>
      </w:pPr>
      <w:bookmarkStart w:id="6" w:name="_Hlk105746681"/>
      <w:r>
        <w:t xml:space="preserve">Pasūtītājam </w:t>
      </w:r>
      <w:r w:rsidR="00FD5978" w:rsidRPr="00FF298C">
        <w:t xml:space="preserve"> </w:t>
      </w:r>
      <w:r w:rsidR="000045E1" w:rsidRPr="00FF298C">
        <w:t xml:space="preserve">ir </w:t>
      </w:r>
      <w:r>
        <w:t xml:space="preserve">tiesības pieprasīt Izpildītājam </w:t>
      </w:r>
      <w:r w:rsidRPr="00FF298C">
        <w:t>līguma saistību izpildes nodrošinājumu</w:t>
      </w:r>
      <w:r w:rsidR="00830AF3">
        <w:t xml:space="preserve"> vai apdrošināšanas polisi saskaņā ar Vispārīgās vienošanās 8.5.apakšpunktā noteikto:</w:t>
      </w:r>
    </w:p>
    <w:p w14:paraId="091A3A21" w14:textId="47483F6F" w:rsidR="00830AF3" w:rsidRDefault="00830AF3" w:rsidP="00830AF3">
      <w:pPr>
        <w:spacing w:after="120"/>
        <w:ind w:left="567" w:hanging="992"/>
        <w:jc w:val="both"/>
        <w:rPr>
          <w:rFonts w:ascii="Calibri" w:hAnsi="Calibri" w:cs="Calibri"/>
          <w:sz w:val="22"/>
        </w:rPr>
      </w:pPr>
      <w:r>
        <w:t xml:space="preserve">                 Ja tiek konstatēts, ka Vienošanas darbības laikā vidējās tirgū piedāvātās stundas likmes svārstās, cenas līmeņa slieksnis tiek pārrēķināts, izmantot Valsts ieņēmumu dienesta (turpmāk ‒ VID) </w:t>
      </w:r>
      <w:hyperlink r:id="rId10" w:history="1">
        <w:r>
          <w:rPr>
            <w:rStyle w:val="Hyperlink"/>
          </w:rPr>
          <w:t>pēdējos publicētos darba vietu datus par vidējām stundas tarifa likmēm</w:t>
        </w:r>
      </w:hyperlink>
      <w:r>
        <w:t xml:space="preserve"> sadalījumā pa mēnešiem profesiju klasifikatora apakšgrupā, “25 Informācijas un komunikācijas tehnoloģiju jomas vecākie speciālisti” (jeb piemērot pārskatīšanas koeficientu, kuru veidos attiecība starp pēdējiem publicētajiem VID datiem un VID datiem Vienošanās parakstīšanas brīdī). </w:t>
      </w:r>
    </w:p>
    <w:p w14:paraId="4E34AEC6" w14:textId="77777777" w:rsidR="00830AF3" w:rsidRDefault="00830AF3" w:rsidP="00830AF3">
      <w:pPr>
        <w:spacing w:after="120"/>
        <w:ind w:left="567"/>
        <w:jc w:val="both"/>
      </w:pPr>
      <w:r>
        <w:t>Cenas līmeņa slieksnis tiek pārrēķināts, piemērojot šādu aprēķina formulu:</w:t>
      </w:r>
    </w:p>
    <w:p w14:paraId="5621B0E7" w14:textId="77777777" w:rsidR="00830AF3" w:rsidRDefault="00830AF3" w:rsidP="00830AF3">
      <w:pPr>
        <w:spacing w:after="120"/>
        <w:ind w:left="567"/>
        <w:jc w:val="both"/>
      </w:pPr>
      <w:r>
        <w:t>A = B * C : D, kur:</w:t>
      </w:r>
    </w:p>
    <w:p w14:paraId="658C78FD" w14:textId="77777777" w:rsidR="00830AF3" w:rsidRDefault="00830AF3" w:rsidP="00830AF3">
      <w:pPr>
        <w:spacing w:after="60"/>
        <w:ind w:left="567" w:hanging="425"/>
        <w:jc w:val="both"/>
      </w:pPr>
      <w:r>
        <w:t xml:space="preserve">A –   pakalpojuma stundas likmei noteiktais </w:t>
      </w:r>
      <w:proofErr w:type="spellStart"/>
      <w:r>
        <w:t>robežslieksnis</w:t>
      </w:r>
      <w:proofErr w:type="spellEnd"/>
      <w:r>
        <w:t>, nesasniedzot kuru pircējs var pieprasīt līguma saistību izpildes nodrošinājumu vai apdrošināšanas polisi;</w:t>
      </w:r>
    </w:p>
    <w:p w14:paraId="590A7167" w14:textId="77777777" w:rsidR="00830AF3" w:rsidRDefault="00830AF3" w:rsidP="00830AF3">
      <w:pPr>
        <w:spacing w:after="60"/>
        <w:ind w:left="567" w:hanging="425"/>
        <w:jc w:val="both"/>
      </w:pPr>
      <w:r>
        <w:t>B –   46,75 EUR (par 25 % (par divdesmit pieciem procentiem) samazināta vidējā EIS stundas likmes vērtība iepriekšējā katalogā);</w:t>
      </w:r>
    </w:p>
    <w:p w14:paraId="00AD610D" w14:textId="77777777" w:rsidR="00830AF3" w:rsidRDefault="00830AF3" w:rsidP="00830AF3">
      <w:pPr>
        <w:spacing w:after="60"/>
        <w:ind w:left="567" w:hanging="425"/>
        <w:jc w:val="both"/>
      </w:pPr>
      <w:r>
        <w:t>C –   vidējā stundas tarifa likme profesiju klasifikatora 25. apakšgrupā (pēdējie aktuālie jeb publicētie VID dati);</w:t>
      </w:r>
    </w:p>
    <w:p w14:paraId="1670E107" w14:textId="77777777" w:rsidR="00830AF3" w:rsidRDefault="00830AF3" w:rsidP="00830AF3">
      <w:pPr>
        <w:spacing w:after="60"/>
        <w:ind w:left="567" w:hanging="425"/>
        <w:jc w:val="both"/>
      </w:pPr>
      <w:r>
        <w:t>D –   vidējā stundas tarifa likme profesiju klasifikatora 25. apakšgrupā (pēdējie publicētie VID dati Vienošanās parakstīšanas mēnesī).</w:t>
      </w:r>
    </w:p>
    <w:p w14:paraId="6182F34E" w14:textId="4C0EC9F0" w:rsidR="00830AF3" w:rsidRPr="00FF298C" w:rsidRDefault="00830AF3" w:rsidP="00830AF3">
      <w:pPr>
        <w:spacing w:after="240"/>
        <w:ind w:left="567"/>
        <w:jc w:val="both"/>
      </w:pPr>
      <w:r>
        <w:t xml:space="preserve">E-pasūtījumu apakšsistēmas uzturētājs kopā ar Vienošanās publicēto līguma datni, publicē sākotnēji noteikto cenas līmeņa slieksni (46,75 EUR) (četrdesmit seši </w:t>
      </w:r>
      <w:r>
        <w:rPr>
          <w:i/>
          <w:iCs/>
        </w:rPr>
        <w:t>euro</w:t>
      </w:r>
      <w:r>
        <w:t xml:space="preserve"> un septiņdesmit pieci centi), kā arī visus cenas līmeņa sliekšņa tiek pārrēķināts Vienošanās darbības laikā.</w:t>
      </w:r>
    </w:p>
    <w:bookmarkEnd w:id="6"/>
    <w:p w14:paraId="38DD47EE" w14:textId="77777777" w:rsidR="0057309A" w:rsidRPr="00FF298C" w:rsidRDefault="0057309A" w:rsidP="0057309A">
      <w:pPr>
        <w:pStyle w:val="Heading1"/>
      </w:pPr>
      <w:r w:rsidRPr="00FF298C">
        <w:t>Pušu tiesības un pienākumi</w:t>
      </w:r>
    </w:p>
    <w:p w14:paraId="1C1D3D8B" w14:textId="69F93046" w:rsidR="0057309A" w:rsidRPr="00FF298C" w:rsidRDefault="0057309A" w:rsidP="0057309A">
      <w:pPr>
        <w:pStyle w:val="ListParagraph"/>
      </w:pPr>
      <w:r w:rsidRPr="00FF298C">
        <w:t>Izpildītāja pienākumi:</w:t>
      </w:r>
    </w:p>
    <w:p w14:paraId="28CECD4C" w14:textId="7FFF6E12" w:rsidR="0057309A" w:rsidRPr="00FF298C" w:rsidRDefault="0057309A" w:rsidP="0057309A">
      <w:pPr>
        <w:numPr>
          <w:ilvl w:val="2"/>
          <w:numId w:val="11"/>
        </w:numPr>
        <w:tabs>
          <w:tab w:val="left" w:pos="426"/>
          <w:tab w:val="num" w:pos="1288"/>
          <w:tab w:val="left" w:pos="1418"/>
        </w:tabs>
        <w:spacing w:after="0" w:line="240" w:lineRule="auto"/>
        <w:jc w:val="both"/>
      </w:pPr>
      <w:r w:rsidRPr="00FF298C">
        <w:t>izstrādāt Darbu profesionāli un kvalitatīvi, tas ir – atbilstoši Pasūtītāja vajadzībām, prasībām, kas noteiktas Darba uzdevumā, ievērojot spēkā esošos uz Darbu attiecināmos normatīvo aktu</w:t>
      </w:r>
      <w:r w:rsidRPr="00FF298C">
        <w:rPr>
          <w:b/>
        </w:rPr>
        <w:t xml:space="preserve"> </w:t>
      </w:r>
      <w:r w:rsidRPr="00FF298C">
        <w:t xml:space="preserve">noteikumus, kā arī </w:t>
      </w:r>
      <w:r w:rsidRPr="00FF298C">
        <w:rPr>
          <w:lang w:bidi="bo-CN"/>
        </w:rPr>
        <w:t>veikt Darba garantijas perioda apkalpošanu 24 mēnešus pēc Darba nodošanas Pasūtītājam saskaņā ar Darba uzdevuma pielikuma noteikumiem;</w:t>
      </w:r>
    </w:p>
    <w:p w14:paraId="20A6A13F" w14:textId="77777777" w:rsidR="0057309A" w:rsidRPr="00FF298C" w:rsidRDefault="0057309A" w:rsidP="0057309A">
      <w:pPr>
        <w:pStyle w:val="ListParagraph"/>
        <w:numPr>
          <w:ilvl w:val="2"/>
          <w:numId w:val="11"/>
        </w:numPr>
        <w:tabs>
          <w:tab w:val="left" w:pos="426"/>
          <w:tab w:val="num" w:pos="1288"/>
          <w:tab w:val="left" w:pos="1418"/>
        </w:tabs>
        <w:spacing w:line="240" w:lineRule="auto"/>
      </w:pPr>
      <w:r w:rsidRPr="00FF298C">
        <w:t>pēc Pasūtītāja pieprasījuma sniegt informāciju par Darba izpildi un izpildīt Pasūtītāja norādījumus. Pēc Pasūtītāja pieprasījuma iesniegt Pasūtītājam pārskatu par visām Darba uzdevuma ietvaros veiktajām darbībām trīs darbdienu laikā;</w:t>
      </w:r>
    </w:p>
    <w:p w14:paraId="3384B00D" w14:textId="77777777" w:rsidR="0057309A" w:rsidRPr="00FF298C" w:rsidRDefault="0057309A" w:rsidP="0057309A">
      <w:pPr>
        <w:pStyle w:val="ListParagraph"/>
        <w:numPr>
          <w:ilvl w:val="2"/>
          <w:numId w:val="11"/>
        </w:numPr>
        <w:tabs>
          <w:tab w:val="left" w:pos="426"/>
          <w:tab w:val="num" w:pos="1288"/>
          <w:tab w:val="left" w:pos="1418"/>
        </w:tabs>
        <w:spacing w:line="240" w:lineRule="auto"/>
      </w:pPr>
      <w:r w:rsidRPr="00FF298C">
        <w:t>nekavējoties, bet ne vēlāk kā trīs darbdienu laikā, paziņot Pasūtītājam par jebkādiem apstākļiem, kas radušies neatkarīgi no Izpildītāja un kavē Darba izpildi, Darba nodošanu noteiktajā termiņā, saskaņojot ar Pasūtītāju tālāko rīcību.</w:t>
      </w:r>
    </w:p>
    <w:p w14:paraId="0462A51D" w14:textId="77777777" w:rsidR="0057309A" w:rsidRPr="00FF298C" w:rsidRDefault="0057309A" w:rsidP="0057309A">
      <w:pPr>
        <w:pStyle w:val="ListParagraph"/>
      </w:pPr>
      <w:r w:rsidRPr="00FF298C">
        <w:t xml:space="preserve"> Izpildītāja tiesības:</w:t>
      </w:r>
    </w:p>
    <w:p w14:paraId="5764FA76" w14:textId="77777777" w:rsidR="0057309A" w:rsidRPr="00FF298C" w:rsidRDefault="0057309A" w:rsidP="0057309A">
      <w:pPr>
        <w:pStyle w:val="ListParagraph"/>
        <w:numPr>
          <w:ilvl w:val="2"/>
          <w:numId w:val="11"/>
        </w:numPr>
        <w:tabs>
          <w:tab w:val="left" w:pos="426"/>
          <w:tab w:val="num" w:pos="1288"/>
          <w:tab w:val="left" w:pos="1418"/>
        </w:tabs>
        <w:spacing w:line="240" w:lineRule="auto"/>
      </w:pPr>
      <w:r w:rsidRPr="00FF298C">
        <w:t>saņemt no Pasūtītāja tā rīcībā esošo Darba izpildei nepieciešamo informāciju un dokumentus;</w:t>
      </w:r>
    </w:p>
    <w:p w14:paraId="57E97228" w14:textId="77777777" w:rsidR="0057309A" w:rsidRPr="00FF298C" w:rsidRDefault="0057309A" w:rsidP="0057309A">
      <w:pPr>
        <w:pStyle w:val="ListParagraph"/>
        <w:numPr>
          <w:ilvl w:val="2"/>
          <w:numId w:val="11"/>
        </w:numPr>
        <w:tabs>
          <w:tab w:val="left" w:pos="426"/>
          <w:tab w:val="num" w:pos="1288"/>
          <w:tab w:val="left" w:pos="1418"/>
        </w:tabs>
        <w:spacing w:line="240" w:lineRule="auto"/>
      </w:pPr>
      <w:r w:rsidRPr="00FF298C">
        <w:t>saņemt samaksu no Pasūtītāja par noteiktajā termiņā kvalitatīvi izpildīto un Pasūtītājam nodoto Darbu.</w:t>
      </w:r>
    </w:p>
    <w:p w14:paraId="31CD5AF3" w14:textId="77777777" w:rsidR="0057309A" w:rsidRPr="00FF298C" w:rsidRDefault="0057309A" w:rsidP="0057309A">
      <w:pPr>
        <w:pStyle w:val="ListParagraph"/>
      </w:pPr>
      <w:r w:rsidRPr="00FF298C">
        <w:t>Pasūtītāja pienākumi:</w:t>
      </w:r>
    </w:p>
    <w:p w14:paraId="2E26DDC4" w14:textId="77777777" w:rsidR="0057309A" w:rsidRPr="00FF298C" w:rsidRDefault="0057309A" w:rsidP="0057309A">
      <w:pPr>
        <w:numPr>
          <w:ilvl w:val="2"/>
          <w:numId w:val="11"/>
        </w:numPr>
        <w:tabs>
          <w:tab w:val="left" w:pos="426"/>
          <w:tab w:val="num" w:pos="1288"/>
          <w:tab w:val="left" w:pos="1418"/>
        </w:tabs>
        <w:spacing w:after="0" w:line="240" w:lineRule="auto"/>
        <w:jc w:val="both"/>
      </w:pPr>
      <w:r w:rsidRPr="00FF298C">
        <w:lastRenderedPageBreak/>
        <w:t>pēc Izpildītāja pieprasījuma nodot Izpildītājam Pasūtītāja rīcībā esošo Darba izpildei nepieciešamo informāciju, dokumentus un nodrošināt Darba izpildei nepieciešamo piekļuvi;</w:t>
      </w:r>
    </w:p>
    <w:p w14:paraId="2416789A" w14:textId="6B3A251D" w:rsidR="0057309A" w:rsidRPr="00FF298C" w:rsidRDefault="0057309A" w:rsidP="0057309A">
      <w:pPr>
        <w:numPr>
          <w:ilvl w:val="2"/>
          <w:numId w:val="11"/>
        </w:numPr>
        <w:tabs>
          <w:tab w:val="left" w:pos="426"/>
          <w:tab w:val="num" w:pos="1288"/>
          <w:tab w:val="left" w:pos="1418"/>
        </w:tabs>
        <w:spacing w:after="0" w:line="240" w:lineRule="auto"/>
        <w:jc w:val="both"/>
      </w:pPr>
      <w:r w:rsidRPr="00FF298C">
        <w:t>samaksāt Izpildītājam par izpildīto un Pasūtītājam nodoto Darbu;</w:t>
      </w:r>
    </w:p>
    <w:p w14:paraId="0D1D81F7" w14:textId="77777777" w:rsidR="0057309A" w:rsidRPr="00FF298C" w:rsidRDefault="0057309A" w:rsidP="0057309A">
      <w:pPr>
        <w:numPr>
          <w:ilvl w:val="2"/>
          <w:numId w:val="11"/>
        </w:numPr>
        <w:tabs>
          <w:tab w:val="left" w:pos="426"/>
          <w:tab w:val="num" w:pos="1288"/>
          <w:tab w:val="left" w:pos="1418"/>
        </w:tabs>
        <w:spacing w:after="0" w:line="240" w:lineRule="auto"/>
        <w:jc w:val="both"/>
      </w:pPr>
      <w:r w:rsidRPr="00FF298C">
        <w:t>sadarboties ar Izpildītāju Darba izstrādes laikā;</w:t>
      </w:r>
    </w:p>
    <w:p w14:paraId="400FA84A" w14:textId="77777777" w:rsidR="0057309A" w:rsidRPr="00FF298C" w:rsidRDefault="0057309A" w:rsidP="0057309A">
      <w:pPr>
        <w:numPr>
          <w:ilvl w:val="2"/>
          <w:numId w:val="11"/>
        </w:numPr>
        <w:tabs>
          <w:tab w:val="left" w:pos="426"/>
          <w:tab w:val="num" w:pos="1288"/>
          <w:tab w:val="left" w:pos="1418"/>
        </w:tabs>
        <w:spacing w:after="0" w:line="240" w:lineRule="auto"/>
        <w:jc w:val="both"/>
      </w:pPr>
      <w:r w:rsidRPr="00FF298C">
        <w:t>uzraudzīt Darba prasību izpildi, Darba gala rezultātu sasniegšanu un kvalitātes nodrošināšanu, veikt nodevumu testēšanu;</w:t>
      </w:r>
    </w:p>
    <w:p w14:paraId="33B7E444" w14:textId="77777777" w:rsidR="0057309A" w:rsidRPr="00FF298C" w:rsidRDefault="0057309A" w:rsidP="0057309A">
      <w:pPr>
        <w:numPr>
          <w:ilvl w:val="2"/>
          <w:numId w:val="11"/>
        </w:numPr>
        <w:tabs>
          <w:tab w:val="left" w:pos="426"/>
          <w:tab w:val="num" w:pos="1288"/>
          <w:tab w:val="left" w:pos="1418"/>
        </w:tabs>
        <w:spacing w:after="0" w:line="240" w:lineRule="auto"/>
        <w:jc w:val="both"/>
      </w:pPr>
      <w:r w:rsidRPr="00FF298C">
        <w:t xml:space="preserve">nodrošināt iesniegtās Darba dokumentācijas un nodevumu, </w:t>
      </w:r>
      <w:proofErr w:type="spellStart"/>
      <w:r w:rsidRPr="00FF298C">
        <w:t>starpnodevumu</w:t>
      </w:r>
      <w:proofErr w:type="spellEnd"/>
      <w:r w:rsidRPr="00FF298C">
        <w:t xml:space="preserve"> izvērtēšanu, kā arī regulāru Pasūtītāja un Izpildītāja komunikāciju.</w:t>
      </w:r>
    </w:p>
    <w:p w14:paraId="30BCE630" w14:textId="77777777" w:rsidR="0057309A" w:rsidRPr="00FF298C" w:rsidRDefault="0057309A" w:rsidP="0057309A">
      <w:pPr>
        <w:pStyle w:val="ListParagraph"/>
      </w:pPr>
      <w:r w:rsidRPr="00FF298C">
        <w:t>Pasūtītāja tiesības:</w:t>
      </w:r>
    </w:p>
    <w:p w14:paraId="59D77EFA" w14:textId="77777777" w:rsidR="0057309A" w:rsidRPr="00FF298C" w:rsidRDefault="0057309A" w:rsidP="0057309A">
      <w:pPr>
        <w:numPr>
          <w:ilvl w:val="2"/>
          <w:numId w:val="11"/>
        </w:numPr>
        <w:tabs>
          <w:tab w:val="left" w:pos="426"/>
          <w:tab w:val="num" w:pos="1288"/>
          <w:tab w:val="left" w:pos="1418"/>
        </w:tabs>
        <w:spacing w:after="0" w:line="240" w:lineRule="auto"/>
        <w:jc w:val="both"/>
      </w:pPr>
      <w:r w:rsidRPr="00FF298C">
        <w:t>pieprasīt Izpildītājam informāciju par Darba izpildi;</w:t>
      </w:r>
    </w:p>
    <w:p w14:paraId="45A45263" w14:textId="4628AA70" w:rsidR="0057309A" w:rsidRPr="00FF298C" w:rsidRDefault="0057309A" w:rsidP="0057309A">
      <w:pPr>
        <w:pStyle w:val="ListParagraph"/>
        <w:numPr>
          <w:ilvl w:val="2"/>
          <w:numId w:val="11"/>
        </w:numPr>
        <w:rPr>
          <w:szCs w:val="22"/>
        </w:rPr>
      </w:pPr>
      <w:r w:rsidRPr="00FF298C">
        <w:rPr>
          <w:szCs w:val="22"/>
        </w:rPr>
        <w:t>saņemt no Izpildītāja informāciju un skaidrojumus par Darba uzdevuma izpildes gaitu un citiem Darba uzdevuma izpildes jautājumiem;</w:t>
      </w:r>
    </w:p>
    <w:p w14:paraId="27E8676E" w14:textId="012E057D" w:rsidR="0057309A" w:rsidRPr="00FF298C" w:rsidRDefault="0057309A" w:rsidP="0057309A">
      <w:pPr>
        <w:pStyle w:val="ListParagraph"/>
        <w:numPr>
          <w:ilvl w:val="2"/>
          <w:numId w:val="11"/>
        </w:numPr>
        <w:rPr>
          <w:szCs w:val="22"/>
        </w:rPr>
      </w:pPr>
      <w:r w:rsidRPr="00FF298C">
        <w:rPr>
          <w:szCs w:val="22"/>
        </w:rPr>
        <w:t>dot Izpildītājam saistošus norādījumus attiecībā uz Darba izpildi, ciktāl tas nemaina vai nepapildina Darba uzdevuma priekšmetu vai nepadara neiespējamu Darba uzdevuma izpildi.</w:t>
      </w:r>
    </w:p>
    <w:p w14:paraId="19C1BF86" w14:textId="77777777" w:rsidR="0057309A" w:rsidRPr="00FF298C" w:rsidRDefault="0057309A" w:rsidP="0057309A">
      <w:pPr>
        <w:pStyle w:val="ListParagraph"/>
        <w:numPr>
          <w:ilvl w:val="0"/>
          <w:numId w:val="0"/>
        </w:numPr>
        <w:ind w:left="567"/>
      </w:pPr>
    </w:p>
    <w:p w14:paraId="58380799" w14:textId="0C7BA733" w:rsidR="005D3126" w:rsidRPr="00FF298C" w:rsidRDefault="005D3126" w:rsidP="005D3126">
      <w:pPr>
        <w:pStyle w:val="Heading1"/>
      </w:pPr>
      <w:r w:rsidRPr="00FF298C">
        <w:t xml:space="preserve">Autortiesības un </w:t>
      </w:r>
      <w:bookmarkStart w:id="7" w:name="_Hlk86246764"/>
      <w:r w:rsidRPr="00FF298C">
        <w:t>konfidencialitāte</w:t>
      </w:r>
      <w:bookmarkEnd w:id="7"/>
    </w:p>
    <w:p w14:paraId="3E51669B" w14:textId="054EBBB6" w:rsidR="005D3126" w:rsidRPr="00FF298C" w:rsidRDefault="005D3126" w:rsidP="005D3126">
      <w:pPr>
        <w:pStyle w:val="ListParagraph"/>
        <w:rPr>
          <w:lang w:eastAsia="en-US"/>
        </w:rPr>
      </w:pPr>
      <w:r w:rsidRPr="00FF298C">
        <w:rPr>
          <w:lang w:eastAsia="en-US"/>
        </w:rPr>
        <w:t>Autora mantiskās tiesības uz Darba uzdevum</w:t>
      </w:r>
      <w:r w:rsidR="00DD2520" w:rsidRPr="00FF298C">
        <w:rPr>
          <w:lang w:eastAsia="en-US"/>
        </w:rPr>
        <w:t>a</w:t>
      </w:r>
      <w:r w:rsidRPr="00FF298C">
        <w:rPr>
          <w:lang w:eastAsia="en-US"/>
        </w:rPr>
        <w:t xml:space="preserve"> ietvaros veikto konfigurāciju, izstrādāto programmatūru, programmas pirmkodiem, dokumentāciju un citiem ar autortiesībām aizsargātiem objektiem, kas izstrādāti Darba uzdevuma izpildes rezultātā vai saistībā ar Darba uzdevumu, pāriet Pasūtītājam ar nodošanas-pieņemšanas akta parakstīšanas brīdi. Pasūtītājs bez jebkādas papildus atļaujas saņemšanas no Izpildītāja vai trešajām personām, kā arī bez jebkādas papildu samaksas ir tiesīgs izmantot Darba izpildes rezultātā ar autortiesībām aizsargājamos objektus un ir tiesīgs tos pārveidot. Gadījumā, ja Darba uzdevuma ietvaros </w:t>
      </w:r>
      <w:r w:rsidR="00136545" w:rsidRPr="00FF298C">
        <w:rPr>
          <w:lang w:eastAsia="en-US"/>
        </w:rPr>
        <w:t>Sistēma</w:t>
      </w:r>
      <w:r w:rsidRPr="00FF298C">
        <w:rPr>
          <w:lang w:eastAsia="en-US"/>
        </w:rPr>
        <w:t xml:space="preserve"> tiek piegādāta kā trešo pušu izstrādāta standartprogrammatūra licenču veidā, Pasūtītājam pāriet autortiesības tikai uz </w:t>
      </w:r>
      <w:r w:rsidR="00136545" w:rsidRPr="00FF298C">
        <w:rPr>
          <w:lang w:eastAsia="en-US"/>
        </w:rPr>
        <w:t xml:space="preserve">Sistēmas </w:t>
      </w:r>
      <w:r w:rsidRPr="00FF298C">
        <w:rPr>
          <w:lang w:eastAsia="en-US"/>
        </w:rPr>
        <w:t>veikto konfigurāciju (ja to iespējams nodalīt neaizskarot trešo personu autortiesības), dokumentāciju un citiem ar autortiesību aizsargātiem objektiem, kas izstrādāti Darba uzdevuma izpildes rezultātā vai saistībā ar Darba uzdevumu tādā apjomā, kādā tās neskar trešo pušu autortiesības ar nodošanas-pieņemšanas akta parakstīšanas brīdi.</w:t>
      </w:r>
    </w:p>
    <w:p w14:paraId="53DA0CF1" w14:textId="77777777" w:rsidR="005D3126" w:rsidRPr="00FF298C" w:rsidRDefault="005D3126" w:rsidP="005D3126">
      <w:pPr>
        <w:pStyle w:val="ListParagraph"/>
        <w:rPr>
          <w:lang w:eastAsia="en-US"/>
        </w:rPr>
      </w:pPr>
      <w:r w:rsidRPr="00FF298C">
        <w:rPr>
          <w:lang w:eastAsia="en-US"/>
        </w:rPr>
        <w:t>Pasūtītājam ir tiesības bez Izpildītāja atļaujas pašam vai caur trešajām personām tulkot, adaptēt vai jebkādā citā veidā pārveidot Darba uzdevuma ietvaros izstrādātos autortiesību objektus, uz ko Pasūtītājs ir saņēmis autora mantiskās tiesības.</w:t>
      </w:r>
    </w:p>
    <w:p w14:paraId="6F2F6213" w14:textId="77777777" w:rsidR="005D3126" w:rsidRPr="00FF298C" w:rsidRDefault="005D3126" w:rsidP="005D3126">
      <w:pPr>
        <w:pStyle w:val="ListParagraph"/>
        <w:rPr>
          <w:lang w:eastAsia="en-US"/>
        </w:rPr>
      </w:pPr>
      <w:r w:rsidRPr="00FF298C">
        <w:rPr>
          <w:lang w:eastAsia="en-US"/>
        </w:rPr>
        <w:t>Izpildītājs garantē, ka Darba uzdevuma ietvaros izstrādātā programmatūra (izņemot trešo personu izstrādātā standartprogrammatūra, kas piegādāta licenču veidā), dokumentācija un citi ar nodošanas un pieņemšanas procedūru piegādātie nodevumi vai to ietvaros atsevišķi izpildītie posmi ir Izpildītāja īpašums, un trešajām personām nav ne tiešu, ne pastarpinātu prasījumu vai tiesību uz to izmantošanu, un Izpildītājam nav tiesību jebkādā veidā ierobežot Pasūtītāja tiesību brīvību pēc saviem ieskatiem rīkoties ar tiem.</w:t>
      </w:r>
    </w:p>
    <w:p w14:paraId="07D25BA8" w14:textId="77777777" w:rsidR="005D3126" w:rsidRPr="00FF298C" w:rsidRDefault="005D3126" w:rsidP="005D3126">
      <w:pPr>
        <w:pStyle w:val="ListParagraph"/>
        <w:rPr>
          <w:lang w:eastAsia="en-US"/>
        </w:rPr>
      </w:pPr>
      <w:r w:rsidRPr="00FF298C">
        <w:rPr>
          <w:lang w:eastAsia="en-US"/>
        </w:rPr>
        <w:t>Izpildītājs nav tiesīgs iegūt, iepazīties, kopēt vai kā citādi lietot Pasūtītāja rīcībā esošos datus, kuriem Izpildītājam ir iespējama pieeja Darba uzdevuma izpildes ietvaros.</w:t>
      </w:r>
    </w:p>
    <w:p w14:paraId="2C12ED1C" w14:textId="77777777" w:rsidR="005D3126" w:rsidRPr="00FF298C" w:rsidRDefault="005D3126" w:rsidP="005D3126">
      <w:pPr>
        <w:pStyle w:val="ListParagraph"/>
        <w:rPr>
          <w:lang w:eastAsia="en-US"/>
        </w:rPr>
      </w:pPr>
      <w:r w:rsidRPr="00FF298C">
        <w:rPr>
          <w:lang w:eastAsia="en-US"/>
        </w:rPr>
        <w:t xml:space="preserve">Darba uzdevuma izpratnē ierobežotas pieejamības (konfidenciāla) informācija nozīmē informāciju un datus, tajā skaitā fizisko personu datus, komerciālu vai tehnisku informāciju un datus, informācijas sistēmās esošo informāciju, kā arī informāciju par </w:t>
      </w:r>
      <w:r w:rsidRPr="00FF298C">
        <w:rPr>
          <w:lang w:eastAsia="en-US"/>
        </w:rPr>
        <w:lastRenderedPageBreak/>
        <w:t>Darba uzdevuma izpildes rezultātā radītajiem autortiesību objektiem, tieši vai netieši ietilpstošajām komponentēm vai izmantotajiem darba paņēmieniem, kas nav autortiesību objekti, ko viena Puse izpauž otrai Pusei saistībā ar Darba uzdevumu neatkarīgi no šādas informācijas vai datu saglabāšanas vides, kuras konfidencialitāti viena Puse var pamatoti sagaidīt no otras Puses.</w:t>
      </w:r>
    </w:p>
    <w:p w14:paraId="6D1F2409" w14:textId="77777777" w:rsidR="005D3126" w:rsidRPr="00FF298C" w:rsidRDefault="005D3126" w:rsidP="005D3126">
      <w:pPr>
        <w:pStyle w:val="ListParagraph"/>
        <w:rPr>
          <w:lang w:eastAsia="en-US"/>
        </w:rPr>
      </w:pPr>
      <w:r w:rsidRPr="00FF298C">
        <w:rPr>
          <w:lang w:eastAsia="en-US"/>
        </w:rPr>
        <w:t>Puse bez otras Puses rakstveida piekrišanas neizpauž jebkādu ierobežotas pieejamības informāciju par otru Pusi, ko tā ieguvusi Darba uzdevuma izpildes gaitā. Šis nosacījums ir spēkā gan Darba uzdevuma izpildes laikā, gan arī pēc Darba uzdevuma darbības termiņa izbeigšanās.</w:t>
      </w:r>
    </w:p>
    <w:p w14:paraId="4BE22926" w14:textId="18DB33B0" w:rsidR="005D3126" w:rsidRPr="00FF298C" w:rsidRDefault="005D3126" w:rsidP="005D3126">
      <w:pPr>
        <w:pStyle w:val="ListParagraph"/>
        <w:rPr>
          <w:lang w:eastAsia="en-US"/>
        </w:rPr>
      </w:pPr>
      <w:r w:rsidRPr="00FF298C">
        <w:rPr>
          <w:lang w:eastAsia="en-US"/>
        </w:rPr>
        <w:t>Izpildītājs apņemas sniegt informāciju Darba uzdevuma izpildē iesaistītajiem darbiniekiem un/vai pārstāvjiem tikai nepieciešamības gadījumā un tādā apjomā, kas nepieciešams Darba uzdevuma izpildei.</w:t>
      </w:r>
    </w:p>
    <w:p w14:paraId="6CF19C18" w14:textId="77777777" w:rsidR="006B7EBC" w:rsidRPr="00FF298C" w:rsidRDefault="006B7EBC" w:rsidP="006B7EBC">
      <w:pPr>
        <w:pStyle w:val="Heading1"/>
      </w:pPr>
      <w:r w:rsidRPr="00FF298C">
        <w:t xml:space="preserve">Darba uzdevuma spēkā esība, izbeigšana un grozīšana </w:t>
      </w:r>
    </w:p>
    <w:p w14:paraId="0BFE33C5" w14:textId="16DA52BF" w:rsidR="006B7EBC" w:rsidRPr="00FF298C" w:rsidRDefault="006B7EBC" w:rsidP="006B7EBC">
      <w:pPr>
        <w:pStyle w:val="ListParagraph"/>
      </w:pPr>
      <w:r w:rsidRPr="00FF298C">
        <w:t>Darba uzdevums ir sagatavots un parakstīts elektroniski, ar vienu pielikumu “Tehniskā specifikācija”.</w:t>
      </w:r>
    </w:p>
    <w:p w14:paraId="3214B81A" w14:textId="61D8A5E8" w:rsidR="006B7EBC" w:rsidRPr="00FF298C" w:rsidRDefault="006B7EBC" w:rsidP="006B7EBC">
      <w:pPr>
        <w:pStyle w:val="ListParagraph"/>
      </w:pPr>
      <w:r w:rsidRPr="00FF298C">
        <w:t>Darba uzdevums stājas spēkā tā abpusējas parakstīšanas dienā un ir spēkā līdz Pušu saistību pilnīgai izpildei, izņemot Darba uzdevumā noteiktos gadījumus.</w:t>
      </w:r>
    </w:p>
    <w:p w14:paraId="4F61B303" w14:textId="5E6B8C5C" w:rsidR="006B7EBC" w:rsidRPr="00FF298C" w:rsidRDefault="006B7EBC" w:rsidP="006B7EBC">
      <w:pPr>
        <w:pStyle w:val="ListParagraph"/>
      </w:pPr>
      <w:r w:rsidRPr="00FF298C">
        <w:t>Darba uzdevumu var grozīt, Pusēm rakstiski vienojoties. Visi šādi grozījumi kļūst par Darba uzdevuma pielikumu un tā neatņemamu sastāvdaļu. Grozījumi Darba uzdevumā ir spēkā tikai tad, ja tie noformēti rakstveidā un apstiprināti ar Pušu parakstiem.</w:t>
      </w:r>
    </w:p>
    <w:p w14:paraId="5FE78560" w14:textId="77777777" w:rsidR="006B7EBC" w:rsidRPr="00FF298C" w:rsidRDefault="006B7EBC" w:rsidP="006B7EBC">
      <w:pPr>
        <w:pStyle w:val="ListParagraph"/>
      </w:pPr>
      <w:r w:rsidRPr="00FF298C">
        <w:t>Pasūtītājs var vienpusēji izbeigt Darba uzdevumu, brīdinot par to rakstveidā Izpildītāju vienu mēnesi iepriekš, ja Pasūtītājam zudusi nepieciešamība pēc Darba.</w:t>
      </w:r>
    </w:p>
    <w:p w14:paraId="4FF49C19" w14:textId="77777777" w:rsidR="006B7EBC" w:rsidRPr="00FF298C" w:rsidRDefault="006B7EBC" w:rsidP="006B7EBC">
      <w:pPr>
        <w:pStyle w:val="ListParagraph"/>
        <w:rPr>
          <w:bCs/>
        </w:rPr>
      </w:pPr>
      <w:r w:rsidRPr="00FF298C">
        <w:t>Pasūtītājs ir tiesīgs vienpusēji izbeigt Darba uzdevumu, ja:</w:t>
      </w:r>
    </w:p>
    <w:p w14:paraId="76155E52" w14:textId="77777777" w:rsidR="006B7EBC" w:rsidRPr="00FF298C" w:rsidRDefault="006B7EBC" w:rsidP="006B7EBC">
      <w:pPr>
        <w:numPr>
          <w:ilvl w:val="2"/>
          <w:numId w:val="11"/>
        </w:numPr>
        <w:tabs>
          <w:tab w:val="left" w:pos="142"/>
          <w:tab w:val="left" w:pos="284"/>
          <w:tab w:val="left" w:pos="567"/>
          <w:tab w:val="left" w:pos="709"/>
        </w:tabs>
        <w:spacing w:after="0" w:line="240" w:lineRule="auto"/>
        <w:jc w:val="both"/>
        <w:outlineLvl w:val="1"/>
        <w:rPr>
          <w:lang w:eastAsia="x-none"/>
        </w:rPr>
      </w:pPr>
      <w:r w:rsidRPr="00FF298C">
        <w:rPr>
          <w:lang w:eastAsia="x-none"/>
        </w:rPr>
        <w:t>ir pasludināts Izpildītāja maksātnespējas process vai iestājušies citi apstākļi, kas liedz vai liegs Izpildītājam turpināt Darba uzdevuma izpildi saskaņā ar Līguma noteikumiem vai kas negatīvi ietekmē Pasūtītāja tiesības, kuras izriet no Līguma un Darba uzdevuma;</w:t>
      </w:r>
    </w:p>
    <w:p w14:paraId="2CD05791" w14:textId="77777777" w:rsidR="006B7EBC" w:rsidRPr="00FF298C" w:rsidRDefault="006B7EBC" w:rsidP="006B7EBC">
      <w:pPr>
        <w:numPr>
          <w:ilvl w:val="2"/>
          <w:numId w:val="11"/>
        </w:numPr>
        <w:tabs>
          <w:tab w:val="left" w:pos="142"/>
          <w:tab w:val="left" w:pos="284"/>
          <w:tab w:val="left" w:pos="567"/>
          <w:tab w:val="left" w:pos="709"/>
        </w:tabs>
        <w:spacing w:after="0" w:line="240" w:lineRule="auto"/>
        <w:jc w:val="both"/>
        <w:rPr>
          <w:bCs/>
        </w:rPr>
      </w:pPr>
      <w:r w:rsidRPr="00FF298C">
        <w:t>Izpildītājs Darba uzdevuma noslēgšanas vai izpildes laikā sniedzis nepatiesas ziņas vai apliecinājumus;</w:t>
      </w:r>
    </w:p>
    <w:p w14:paraId="4FBC1F2E" w14:textId="77777777" w:rsidR="006B7EBC" w:rsidRPr="00FF298C" w:rsidRDefault="006B7EBC" w:rsidP="006B7EBC">
      <w:pPr>
        <w:numPr>
          <w:ilvl w:val="2"/>
          <w:numId w:val="11"/>
        </w:numPr>
        <w:tabs>
          <w:tab w:val="left" w:pos="142"/>
          <w:tab w:val="left" w:pos="284"/>
          <w:tab w:val="left" w:pos="567"/>
          <w:tab w:val="left" w:pos="709"/>
        </w:tabs>
        <w:spacing w:after="0" w:line="240" w:lineRule="auto"/>
        <w:jc w:val="both"/>
        <w:outlineLvl w:val="1"/>
        <w:rPr>
          <w:lang w:eastAsia="x-none"/>
        </w:rPr>
      </w:pPr>
      <w:r w:rsidRPr="00FF298C">
        <w:rPr>
          <w:lang w:eastAsia="x-none"/>
        </w:rPr>
        <w:t>Darba uzdevuma noslēgšanas vai Darba uzdevuma saistību izpildes laikā Izpildītājs veicis prettiesisku darbību vai pārkāpis normatīvo aktu attiecībā uz Darba uzdevuma slēgšanu un izpildi;</w:t>
      </w:r>
    </w:p>
    <w:p w14:paraId="7F0508D1" w14:textId="77777777" w:rsidR="006B7EBC" w:rsidRPr="00FF298C" w:rsidRDefault="006B7EBC" w:rsidP="006B7EBC">
      <w:pPr>
        <w:numPr>
          <w:ilvl w:val="2"/>
          <w:numId w:val="11"/>
        </w:numPr>
        <w:tabs>
          <w:tab w:val="left" w:pos="142"/>
          <w:tab w:val="left" w:pos="284"/>
          <w:tab w:val="left" w:pos="567"/>
          <w:tab w:val="left" w:pos="709"/>
        </w:tabs>
        <w:spacing w:after="0" w:line="240" w:lineRule="auto"/>
        <w:jc w:val="both"/>
        <w:outlineLvl w:val="1"/>
        <w:rPr>
          <w:lang w:eastAsia="x-none"/>
        </w:rPr>
      </w:pPr>
      <w:r w:rsidRPr="00FF298C">
        <w:rPr>
          <w:lang w:eastAsia="x-none"/>
        </w:rPr>
        <w:t xml:space="preserve">bez Pasūtītāja piekrišanas ierosināts </w:t>
      </w:r>
      <w:r w:rsidRPr="00FF298C">
        <w:rPr>
          <w:bCs/>
        </w:rPr>
        <w:t>Izpildītāja</w:t>
      </w:r>
      <w:r w:rsidRPr="00FF298C">
        <w:rPr>
          <w:lang w:eastAsia="x-none"/>
        </w:rPr>
        <w:t xml:space="preserve"> tiesiskās aizsardzības process;</w:t>
      </w:r>
    </w:p>
    <w:p w14:paraId="7F302359" w14:textId="77777777" w:rsidR="006B7EBC" w:rsidRPr="00FF298C" w:rsidRDefault="006B7EBC" w:rsidP="006B7EBC">
      <w:pPr>
        <w:numPr>
          <w:ilvl w:val="2"/>
          <w:numId w:val="11"/>
        </w:numPr>
        <w:tabs>
          <w:tab w:val="left" w:pos="142"/>
          <w:tab w:val="left" w:pos="284"/>
          <w:tab w:val="left" w:pos="567"/>
          <w:tab w:val="left" w:pos="709"/>
        </w:tabs>
        <w:spacing w:after="0" w:line="240" w:lineRule="auto"/>
        <w:jc w:val="both"/>
        <w:outlineLvl w:val="1"/>
        <w:rPr>
          <w:lang w:eastAsia="x-none"/>
        </w:rPr>
      </w:pPr>
      <w:r w:rsidRPr="00FF298C">
        <w:rPr>
          <w:bCs/>
        </w:rPr>
        <w:t>Izpildītājs</w:t>
      </w:r>
      <w:r w:rsidRPr="00FF298C">
        <w:rPr>
          <w:lang w:eastAsia="x-none"/>
        </w:rPr>
        <w:t xml:space="preserve"> Pasūtītājam nodarījis zaudējumus;</w:t>
      </w:r>
    </w:p>
    <w:p w14:paraId="74C8FD0C" w14:textId="2C66676D" w:rsidR="006B7EBC" w:rsidRPr="00FF298C" w:rsidRDefault="006B7EBC" w:rsidP="006B7EBC">
      <w:pPr>
        <w:numPr>
          <w:ilvl w:val="2"/>
          <w:numId w:val="11"/>
        </w:numPr>
        <w:tabs>
          <w:tab w:val="left" w:pos="142"/>
          <w:tab w:val="left" w:pos="284"/>
          <w:tab w:val="left" w:pos="567"/>
          <w:tab w:val="left" w:pos="709"/>
          <w:tab w:val="left" w:pos="851"/>
        </w:tabs>
        <w:spacing w:after="0" w:line="240" w:lineRule="auto"/>
        <w:jc w:val="both"/>
        <w:outlineLvl w:val="1"/>
        <w:rPr>
          <w:lang w:eastAsia="x-none"/>
        </w:rPr>
      </w:pPr>
      <w:r w:rsidRPr="00FF298C">
        <w:rPr>
          <w:bCs/>
        </w:rPr>
        <w:t>Izpildītājs</w:t>
      </w:r>
      <w:r w:rsidRPr="00FF298C">
        <w:rPr>
          <w:lang w:eastAsia="x-none"/>
        </w:rPr>
        <w:t xml:space="preserve"> pārkāpj vai nepilda jebkuru būtisku Darba uzdevuma un/vai </w:t>
      </w:r>
      <w:r w:rsidR="00DD4A35" w:rsidRPr="00FF298C">
        <w:rPr>
          <w:lang w:eastAsia="x-none"/>
        </w:rPr>
        <w:t>Darba uzdevuma pielikuma, kā arī Vispārīgās vienošanās</w:t>
      </w:r>
      <w:r w:rsidRPr="00FF298C">
        <w:rPr>
          <w:lang w:eastAsia="x-none"/>
        </w:rPr>
        <w:t xml:space="preserve"> nosacījumu vai pienākumu; </w:t>
      </w:r>
    </w:p>
    <w:p w14:paraId="5DA0AEF7" w14:textId="77777777" w:rsidR="006B7EBC" w:rsidRPr="00FF298C" w:rsidRDefault="006B7EBC" w:rsidP="006B7EBC">
      <w:pPr>
        <w:numPr>
          <w:ilvl w:val="2"/>
          <w:numId w:val="11"/>
        </w:numPr>
        <w:tabs>
          <w:tab w:val="left" w:pos="142"/>
          <w:tab w:val="left" w:pos="284"/>
          <w:tab w:val="left" w:pos="567"/>
          <w:tab w:val="left" w:pos="709"/>
          <w:tab w:val="left" w:pos="851"/>
        </w:tabs>
        <w:spacing w:after="0" w:line="240" w:lineRule="auto"/>
        <w:jc w:val="both"/>
        <w:outlineLvl w:val="1"/>
        <w:rPr>
          <w:lang w:eastAsia="x-none"/>
        </w:rPr>
      </w:pPr>
      <w:r w:rsidRPr="00FF298C">
        <w:rPr>
          <w:lang w:eastAsia="x-none"/>
        </w:rPr>
        <w:t xml:space="preserve">Izpildītājs ir patvaļīgi pārtraucis Darba un/vai Darba uzdevuma saistību izpildi, tai skaitā, ja </w:t>
      </w:r>
      <w:r w:rsidRPr="00FF298C">
        <w:rPr>
          <w:bCs/>
        </w:rPr>
        <w:t>Izpildītājs</w:t>
      </w:r>
      <w:r w:rsidRPr="00FF298C">
        <w:rPr>
          <w:lang w:eastAsia="x-none"/>
        </w:rPr>
        <w:t xml:space="preserve"> nav sasniedzams juridiskajā adresē;</w:t>
      </w:r>
    </w:p>
    <w:p w14:paraId="78653270" w14:textId="4E98FDCA" w:rsidR="006B7EBC" w:rsidRPr="00FF298C" w:rsidRDefault="006B7EBC" w:rsidP="006B7EBC">
      <w:pPr>
        <w:numPr>
          <w:ilvl w:val="2"/>
          <w:numId w:val="11"/>
        </w:numPr>
        <w:tabs>
          <w:tab w:val="left" w:pos="142"/>
          <w:tab w:val="left" w:pos="284"/>
          <w:tab w:val="left" w:pos="567"/>
          <w:tab w:val="left" w:pos="709"/>
          <w:tab w:val="left" w:pos="851"/>
        </w:tabs>
        <w:spacing w:after="0" w:line="240" w:lineRule="auto"/>
        <w:jc w:val="both"/>
        <w:outlineLvl w:val="1"/>
        <w:rPr>
          <w:lang w:eastAsia="x-none"/>
        </w:rPr>
      </w:pPr>
      <w:r w:rsidRPr="00FF298C">
        <w:rPr>
          <w:lang w:eastAsia="x-none"/>
        </w:rPr>
        <w:t xml:space="preserve"> Izpildītājs ir nokavējis vairāk kā </w:t>
      </w:r>
      <w:r w:rsidR="0057309A" w:rsidRPr="00FF298C">
        <w:rPr>
          <w:lang w:eastAsia="x-none"/>
        </w:rPr>
        <w:t>3</w:t>
      </w:r>
      <w:r w:rsidRPr="00FF298C">
        <w:rPr>
          <w:lang w:eastAsia="x-none"/>
        </w:rPr>
        <w:t xml:space="preserve"> darbdienas Darba izpildes un nodošanas termiņu;</w:t>
      </w:r>
    </w:p>
    <w:p w14:paraId="5D4CE46D" w14:textId="77777777" w:rsidR="006B7EBC" w:rsidRPr="00FF298C" w:rsidRDefault="006B7EBC" w:rsidP="006B7EBC">
      <w:pPr>
        <w:numPr>
          <w:ilvl w:val="2"/>
          <w:numId w:val="11"/>
        </w:numPr>
        <w:tabs>
          <w:tab w:val="left" w:pos="142"/>
          <w:tab w:val="left" w:pos="284"/>
          <w:tab w:val="left" w:pos="567"/>
          <w:tab w:val="left" w:pos="709"/>
          <w:tab w:val="left" w:pos="851"/>
        </w:tabs>
        <w:spacing w:after="0" w:line="240" w:lineRule="auto"/>
        <w:jc w:val="both"/>
        <w:outlineLvl w:val="1"/>
        <w:rPr>
          <w:lang w:eastAsia="x-none"/>
        </w:rPr>
      </w:pPr>
      <w:r w:rsidRPr="00FF298C">
        <w:rPr>
          <w:lang w:eastAsia="x-none"/>
        </w:rPr>
        <w:t>Darba uzdevumu nav iespējams izpildīt tādēļ, ka Darba uzdevuma izpildes laikā Izpildītājam ir piemērotas starptautiskās vai nacionālās sankcijas vai būtiskas finanšu un kapitāla tirgus intereses ietekmējošas Eiropas Savienības vai Ziemeļatlantijas līguma organizācijas dalībvalsts noteiktās sankcijas saskaņā ar Latvijas Republikas Starptautisko un Latvijas Republikas nacionālo sankciju likuma 11.</w:t>
      </w:r>
      <w:r w:rsidRPr="00FF298C">
        <w:rPr>
          <w:vertAlign w:val="superscript"/>
          <w:lang w:eastAsia="x-none"/>
        </w:rPr>
        <w:t>1</w:t>
      </w:r>
      <w:r w:rsidRPr="00FF298C">
        <w:rPr>
          <w:lang w:eastAsia="x-none"/>
        </w:rPr>
        <w:t>panta trešās daļas regulējumu.</w:t>
      </w:r>
    </w:p>
    <w:p w14:paraId="69E41F9C" w14:textId="312EC687" w:rsidR="006B7EBC" w:rsidRPr="00FF298C" w:rsidRDefault="006B7EBC" w:rsidP="006B7EBC">
      <w:pPr>
        <w:pStyle w:val="ListParagraph"/>
      </w:pPr>
      <w:r w:rsidRPr="00FF298C">
        <w:lastRenderedPageBreak/>
        <w:t xml:space="preserve">Darba uzdevuma </w:t>
      </w:r>
      <w:r w:rsidR="0057309A" w:rsidRPr="00FF298C">
        <w:t>6</w:t>
      </w:r>
      <w:r w:rsidRPr="00FF298C">
        <w:t>.4.punktā noteiktajos gadījumos Darba uzdevums ir uzskatāms par izbeigtu septītajā dienā pēc attiecīgā Pasūtītāja rakstveida paziņojuma nosūtīšanas dienas Izpildītājam.</w:t>
      </w:r>
    </w:p>
    <w:p w14:paraId="6F9D80BB" w14:textId="77777777" w:rsidR="006B7EBC" w:rsidRPr="00FF298C" w:rsidRDefault="006B7EBC" w:rsidP="006B7EBC">
      <w:pPr>
        <w:pStyle w:val="ListParagraph"/>
      </w:pPr>
      <w:r w:rsidRPr="00FF298C">
        <w:t xml:space="preserve">Darba uzdevuma </w:t>
      </w:r>
      <w:proofErr w:type="spellStart"/>
      <w:r w:rsidRPr="00FF298C">
        <w:t>neizdevīgums</w:t>
      </w:r>
      <w:proofErr w:type="spellEnd"/>
      <w:r w:rsidRPr="00FF298C">
        <w:t>, pārmērīgi zaudējumi, būtiskas nelabvēlīgas izmaiņas informācijas sistēmu izstrādes tirgū, izpildes grūtības un citi līdzīgi apstākļi nav pamats Darba uzdevuma izbeigšanai no Izpildītāja puses.</w:t>
      </w:r>
    </w:p>
    <w:p w14:paraId="086076B4" w14:textId="77777777" w:rsidR="006B7EBC" w:rsidRPr="00FF298C" w:rsidRDefault="006B7EBC" w:rsidP="006B7EBC">
      <w:pPr>
        <w:pStyle w:val="ListParagraph"/>
      </w:pPr>
      <w:r w:rsidRPr="00FF298C">
        <w:t xml:space="preserve">Parakstītus </w:t>
      </w:r>
      <w:r w:rsidRPr="00FF298C">
        <w:rPr>
          <w:bCs/>
        </w:rPr>
        <w:t xml:space="preserve">Darba uzdevuma </w:t>
      </w:r>
      <w:r w:rsidRPr="00FF298C">
        <w:t xml:space="preserve">papildinājumus un grozījumus, kuri tiek numurēti, pievieno </w:t>
      </w:r>
      <w:r w:rsidRPr="00FF298C">
        <w:rPr>
          <w:bCs/>
        </w:rPr>
        <w:t xml:space="preserve">darba uzdevumam </w:t>
      </w:r>
      <w:r w:rsidRPr="00FF298C">
        <w:t xml:space="preserve">un tie ir </w:t>
      </w:r>
      <w:r w:rsidRPr="00FF298C">
        <w:rPr>
          <w:bCs/>
        </w:rPr>
        <w:t>Darba uzdevuma</w:t>
      </w:r>
      <w:r w:rsidRPr="00FF298C">
        <w:t xml:space="preserve"> neatņemamas sastāvdaļas.</w:t>
      </w:r>
    </w:p>
    <w:p w14:paraId="41FEF64B" w14:textId="77777777" w:rsidR="00244251" w:rsidRPr="00FF298C" w:rsidRDefault="00147B43">
      <w:pPr>
        <w:pStyle w:val="Heading1"/>
      </w:pPr>
      <w:r w:rsidRPr="00FF298C">
        <w:t>Citi noteikumi</w:t>
      </w:r>
    </w:p>
    <w:p w14:paraId="6D3B6DE4" w14:textId="3A08052E" w:rsidR="00244251" w:rsidRPr="00FF298C" w:rsidRDefault="00147B43">
      <w:pPr>
        <w:pStyle w:val="ListParagraph"/>
      </w:pPr>
      <w:r w:rsidRPr="00FF298C">
        <w:t>Darījuma un Darba uzdevuma izpildē Puses piemēro Vispārīgās vienošanās noteikumus, ciktāl šajā Darba uzdevumā nav noteikts citādi.</w:t>
      </w:r>
    </w:p>
    <w:p w14:paraId="1BF3AB15" w14:textId="77777777" w:rsidR="00244251" w:rsidRPr="00FF298C" w:rsidRDefault="00147B43">
      <w:pPr>
        <w:pStyle w:val="ListParagraph"/>
      </w:pPr>
      <w:bookmarkStart w:id="8" w:name="_Ref35018926"/>
      <w:r w:rsidRPr="00FF298C">
        <w:t>Darba uzdevuma izpildei Puses norīko šādas kontaktpersonas:</w:t>
      </w:r>
      <w:bookmarkStart w:id="9" w:name="_Ref29901038"/>
      <w:bookmarkEnd w:id="8"/>
    </w:p>
    <w:p w14:paraId="6DF703CA" w14:textId="115FD5CE" w:rsidR="00244251" w:rsidRPr="00FF298C" w:rsidRDefault="00147B43">
      <w:pPr>
        <w:pStyle w:val="ListParagraph"/>
        <w:numPr>
          <w:ilvl w:val="2"/>
          <w:numId w:val="11"/>
        </w:numPr>
        <w:ind w:left="1276" w:hanging="709"/>
      </w:pPr>
      <w:r w:rsidRPr="00FF298C">
        <w:t xml:space="preserve">no Pasūtītāja puses: </w:t>
      </w:r>
      <w:bookmarkEnd w:id="9"/>
      <w:r w:rsidRPr="00FF298C">
        <w:t xml:space="preserve">Informācijas sistēmu departamenta Energoresursu informācijas sistēmu attīstības nodaļas vadītājs Aivars Bojārs, </w:t>
      </w:r>
      <w:r w:rsidR="00136545" w:rsidRPr="00FF298C">
        <w:t xml:space="preserve">e-pasts: </w:t>
      </w:r>
      <w:hyperlink r:id="rId11" w:history="1">
        <w:r w:rsidR="00136545" w:rsidRPr="00FF298C">
          <w:rPr>
            <w:rStyle w:val="Hyperlink"/>
            <w:color w:val="auto"/>
          </w:rPr>
          <w:t>Aivars.Bojars@bvkb.gov.lv</w:t>
        </w:r>
      </w:hyperlink>
      <w:r w:rsidRPr="00FF298C">
        <w:t xml:space="preserve">, </w:t>
      </w:r>
      <w:r w:rsidR="00136545" w:rsidRPr="00FF298C">
        <w:t xml:space="preserve">tālruņa numurs: </w:t>
      </w:r>
      <w:r w:rsidRPr="00FF298C">
        <w:t>+371 67013375;</w:t>
      </w:r>
      <w:bookmarkStart w:id="10" w:name="_Ref85704121"/>
    </w:p>
    <w:p w14:paraId="3859614E" w14:textId="2D13201B" w:rsidR="00244251" w:rsidRPr="00FF298C" w:rsidRDefault="00147B43">
      <w:pPr>
        <w:pStyle w:val="ListParagraph"/>
        <w:numPr>
          <w:ilvl w:val="2"/>
          <w:numId w:val="11"/>
        </w:numPr>
        <w:ind w:left="1276" w:hanging="709"/>
      </w:pPr>
      <w:r w:rsidRPr="00FF298C">
        <w:t xml:space="preserve">no Izpildītāja puses: </w:t>
      </w:r>
      <w:bookmarkEnd w:id="10"/>
      <w:r w:rsidR="00C03BC3" w:rsidRPr="00FF298C">
        <w:t>______________________________________________</w:t>
      </w:r>
      <w:r w:rsidR="009B436A" w:rsidRPr="00FF298C">
        <w:t>.</w:t>
      </w:r>
    </w:p>
    <w:p w14:paraId="57F6D02A" w14:textId="7B58CFC6" w:rsidR="00244251" w:rsidRPr="00FF298C" w:rsidRDefault="00147B43">
      <w:pPr>
        <w:pStyle w:val="ListParagraph"/>
      </w:pPr>
      <w:r w:rsidRPr="00FF298C">
        <w:t>Pasūtītāja kontaktpersona ir atbildīga par Darba uzdevuma izpildes uzraudzīšanu, tai skaitā, savlaicīgu rēķinu pieņemšanu, apstiprināšanu un nodošanu apmaksai.</w:t>
      </w:r>
    </w:p>
    <w:p w14:paraId="4437CB16" w14:textId="55D4FEDC" w:rsidR="00244251" w:rsidRPr="00FF298C" w:rsidRDefault="00147B43">
      <w:pPr>
        <w:pStyle w:val="ListParagraph"/>
      </w:pPr>
      <w:r w:rsidRPr="00FF298C">
        <w:t>Pušu juridisko adrešu, kontaktpersonu vai rekvizītu maiņas gadījumā Puses apņemas par to viena otru informēt rakstiski divu darba dienu laikā. Šādā gadījumā atsevišķus Darba uzdevuma grozījumus negatavo.</w:t>
      </w:r>
    </w:p>
    <w:p w14:paraId="0A74F9B8" w14:textId="77777777" w:rsidR="00244251" w:rsidRPr="00FF298C" w:rsidRDefault="00147B43">
      <w:pPr>
        <w:pStyle w:val="ListParagraph"/>
      </w:pPr>
      <w:r w:rsidRPr="00FF298C">
        <w:t>Darba uzdevums sagatavots elektroniska dokumenta formā un parakstīts ar drošu elektronisko parakstu, kas satur laika zīmogu. Darba uzdevuma datums ir Puses pēdējā pievienotā droša elektroniskā paraksta un tā laika zīmoga datums.</w:t>
      </w:r>
    </w:p>
    <w:p w14:paraId="53381902" w14:textId="77777777" w:rsidR="004B0676" w:rsidRPr="00FF298C" w:rsidRDefault="004B0676" w:rsidP="00B34138">
      <w:pPr>
        <w:pStyle w:val="ListParagraph"/>
        <w:numPr>
          <w:ilvl w:val="0"/>
          <w:numId w:val="0"/>
        </w:numPr>
        <w:ind w:left="567"/>
      </w:pPr>
    </w:p>
    <w:tbl>
      <w:tblPr>
        <w:tblW w:w="9275" w:type="dxa"/>
        <w:tblInd w:w="-180" w:type="dxa"/>
        <w:tblLook w:val="04A0" w:firstRow="1" w:lastRow="0" w:firstColumn="1" w:lastColumn="0" w:noHBand="0" w:noVBand="1"/>
      </w:tblPr>
      <w:tblGrid>
        <w:gridCol w:w="4672"/>
        <w:gridCol w:w="9"/>
        <w:gridCol w:w="4544"/>
        <w:gridCol w:w="50"/>
      </w:tblGrid>
      <w:tr w:rsidR="00FF298C" w:rsidRPr="00FF298C" w14:paraId="138685CC" w14:textId="77777777" w:rsidTr="004B0676">
        <w:trPr>
          <w:gridAfter w:val="1"/>
          <w:wAfter w:w="48" w:type="dxa"/>
          <w:trHeight w:val="276"/>
        </w:trPr>
        <w:tc>
          <w:tcPr>
            <w:tcW w:w="4536" w:type="dxa"/>
            <w:gridSpan w:val="2"/>
            <w:shd w:val="clear" w:color="auto" w:fill="auto"/>
          </w:tcPr>
          <w:p w14:paraId="02E7C728" w14:textId="77777777" w:rsidR="004B0676" w:rsidRPr="00FF298C" w:rsidRDefault="004B0676" w:rsidP="00777D33">
            <w:pPr>
              <w:rPr>
                <w:b/>
                <w:szCs w:val="24"/>
              </w:rPr>
            </w:pPr>
            <w:r w:rsidRPr="00FF298C">
              <w:rPr>
                <w:b/>
                <w:szCs w:val="24"/>
              </w:rPr>
              <w:t>Pasūtītājs:</w:t>
            </w:r>
          </w:p>
        </w:tc>
        <w:tc>
          <w:tcPr>
            <w:tcW w:w="4403" w:type="dxa"/>
            <w:shd w:val="clear" w:color="auto" w:fill="auto"/>
          </w:tcPr>
          <w:p w14:paraId="10CFEB67" w14:textId="77777777" w:rsidR="004B0676" w:rsidRPr="00FF298C" w:rsidRDefault="004B0676" w:rsidP="00777D33">
            <w:pPr>
              <w:rPr>
                <w:b/>
                <w:szCs w:val="24"/>
              </w:rPr>
            </w:pPr>
            <w:r w:rsidRPr="00FF298C">
              <w:rPr>
                <w:b/>
                <w:szCs w:val="24"/>
              </w:rPr>
              <w:t>Izpildītājs:</w:t>
            </w:r>
          </w:p>
        </w:tc>
      </w:tr>
      <w:tr w:rsidR="00FF298C" w:rsidRPr="00FF298C" w14:paraId="23B76B18" w14:textId="77777777" w:rsidTr="004B0676">
        <w:trPr>
          <w:gridAfter w:val="1"/>
          <w:wAfter w:w="48" w:type="dxa"/>
          <w:trHeight w:val="340"/>
        </w:trPr>
        <w:tc>
          <w:tcPr>
            <w:tcW w:w="4536" w:type="dxa"/>
            <w:gridSpan w:val="2"/>
            <w:shd w:val="clear" w:color="auto" w:fill="auto"/>
          </w:tcPr>
          <w:p w14:paraId="2AC79025" w14:textId="77777777" w:rsidR="004B0676" w:rsidRPr="00FF298C" w:rsidRDefault="004B0676" w:rsidP="00FB7020">
            <w:pPr>
              <w:spacing w:after="0" w:line="240" w:lineRule="auto"/>
              <w:rPr>
                <w:b/>
                <w:szCs w:val="24"/>
              </w:rPr>
            </w:pPr>
            <w:r w:rsidRPr="00FF298C">
              <w:rPr>
                <w:b/>
                <w:szCs w:val="24"/>
              </w:rPr>
              <w:t>Būvniecības valsts kontroles birojs</w:t>
            </w:r>
          </w:p>
        </w:tc>
        <w:tc>
          <w:tcPr>
            <w:tcW w:w="4403" w:type="dxa"/>
            <w:shd w:val="clear" w:color="auto" w:fill="auto"/>
          </w:tcPr>
          <w:p w14:paraId="02F8F40E" w14:textId="1E5336BE" w:rsidR="004B0676" w:rsidRPr="00FF298C" w:rsidRDefault="004B0676" w:rsidP="00FB7020">
            <w:pPr>
              <w:spacing w:after="0" w:line="240" w:lineRule="auto"/>
              <w:rPr>
                <w:b/>
                <w:strike/>
                <w:szCs w:val="24"/>
              </w:rPr>
            </w:pPr>
          </w:p>
        </w:tc>
      </w:tr>
      <w:tr w:rsidR="00FF298C" w:rsidRPr="00FF298C" w14:paraId="4BF4B6C2" w14:textId="77777777" w:rsidTr="00B34138">
        <w:trPr>
          <w:gridAfter w:val="1"/>
          <w:wAfter w:w="48" w:type="dxa"/>
          <w:trHeight w:val="607"/>
        </w:trPr>
        <w:tc>
          <w:tcPr>
            <w:tcW w:w="4536" w:type="dxa"/>
            <w:gridSpan w:val="2"/>
            <w:shd w:val="clear" w:color="auto" w:fill="auto"/>
          </w:tcPr>
          <w:p w14:paraId="285222EC" w14:textId="524EA7C4" w:rsidR="004B0676" w:rsidRPr="00FF298C" w:rsidRDefault="004B0676" w:rsidP="00FB7020">
            <w:pPr>
              <w:spacing w:after="0" w:line="240" w:lineRule="auto"/>
              <w:ind w:right="-569"/>
            </w:pPr>
            <w:r w:rsidRPr="00FF298C">
              <w:t>K.Valdemāra iela 157, Rīga, LV-1013</w:t>
            </w:r>
          </w:p>
        </w:tc>
        <w:tc>
          <w:tcPr>
            <w:tcW w:w="4403" w:type="dxa"/>
            <w:shd w:val="clear" w:color="auto" w:fill="auto"/>
          </w:tcPr>
          <w:p w14:paraId="721287E8" w14:textId="2073E3C8" w:rsidR="004B0676" w:rsidRPr="00FF298C" w:rsidRDefault="004B0676" w:rsidP="00FB7020">
            <w:pPr>
              <w:spacing w:after="0" w:line="240" w:lineRule="auto"/>
              <w:rPr>
                <w:strike/>
                <w:szCs w:val="24"/>
              </w:rPr>
            </w:pPr>
          </w:p>
        </w:tc>
      </w:tr>
      <w:tr w:rsidR="00FF298C" w:rsidRPr="00FF298C" w14:paraId="15293001" w14:textId="77777777" w:rsidTr="004B0676">
        <w:trPr>
          <w:gridAfter w:val="1"/>
          <w:wAfter w:w="48" w:type="dxa"/>
          <w:trHeight w:val="276"/>
        </w:trPr>
        <w:tc>
          <w:tcPr>
            <w:tcW w:w="4536" w:type="dxa"/>
            <w:gridSpan w:val="2"/>
            <w:shd w:val="clear" w:color="auto" w:fill="auto"/>
          </w:tcPr>
          <w:p w14:paraId="0614047A" w14:textId="77777777" w:rsidR="004B0676" w:rsidRPr="00FF298C" w:rsidRDefault="004B0676" w:rsidP="00FB7020">
            <w:pPr>
              <w:spacing w:after="0" w:line="240" w:lineRule="auto"/>
              <w:rPr>
                <w:szCs w:val="24"/>
              </w:rPr>
            </w:pPr>
            <w:r w:rsidRPr="00FF298C">
              <w:rPr>
                <w:snapToGrid w:val="0"/>
                <w:szCs w:val="24"/>
              </w:rPr>
              <w:t xml:space="preserve">Vienotais </w:t>
            </w:r>
            <w:proofErr w:type="spellStart"/>
            <w:r w:rsidRPr="00FF298C">
              <w:rPr>
                <w:snapToGrid w:val="0"/>
                <w:szCs w:val="24"/>
              </w:rPr>
              <w:t>reģ</w:t>
            </w:r>
            <w:proofErr w:type="spellEnd"/>
            <w:r w:rsidRPr="00FF298C">
              <w:rPr>
                <w:snapToGrid w:val="0"/>
                <w:szCs w:val="24"/>
              </w:rPr>
              <w:t>. Nr.</w:t>
            </w:r>
            <w:r w:rsidRPr="00FF298C">
              <w:t xml:space="preserve"> 90010386959</w:t>
            </w:r>
          </w:p>
        </w:tc>
        <w:tc>
          <w:tcPr>
            <w:tcW w:w="4403" w:type="dxa"/>
            <w:shd w:val="clear" w:color="auto" w:fill="auto"/>
          </w:tcPr>
          <w:p w14:paraId="48FC612F" w14:textId="18F63FC2" w:rsidR="004B0676" w:rsidRPr="00FF298C" w:rsidRDefault="004B0676" w:rsidP="00FB7020">
            <w:pPr>
              <w:spacing w:after="0" w:line="240" w:lineRule="auto"/>
              <w:rPr>
                <w:strike/>
                <w:szCs w:val="24"/>
              </w:rPr>
            </w:pPr>
          </w:p>
        </w:tc>
      </w:tr>
      <w:tr w:rsidR="00FF298C" w:rsidRPr="00FF298C" w14:paraId="3A629B4B" w14:textId="77777777" w:rsidTr="004B0676">
        <w:trPr>
          <w:gridAfter w:val="1"/>
          <w:wAfter w:w="48" w:type="dxa"/>
          <w:trHeight w:val="261"/>
        </w:trPr>
        <w:tc>
          <w:tcPr>
            <w:tcW w:w="4536" w:type="dxa"/>
            <w:gridSpan w:val="2"/>
            <w:shd w:val="clear" w:color="auto" w:fill="auto"/>
          </w:tcPr>
          <w:p w14:paraId="6823475D" w14:textId="79C501B8" w:rsidR="004B0676" w:rsidRPr="00FF298C" w:rsidRDefault="004B0676" w:rsidP="00FB7020">
            <w:pPr>
              <w:spacing w:after="0" w:line="240" w:lineRule="auto"/>
              <w:rPr>
                <w:szCs w:val="24"/>
              </w:rPr>
            </w:pPr>
            <w:r w:rsidRPr="00FF298C">
              <w:rPr>
                <w:szCs w:val="24"/>
              </w:rPr>
              <w:t>PVN maksātāja Nr. LV</w:t>
            </w:r>
            <w:r w:rsidRPr="00FF298C">
              <w:t>90010386959</w:t>
            </w:r>
          </w:p>
        </w:tc>
        <w:tc>
          <w:tcPr>
            <w:tcW w:w="4403" w:type="dxa"/>
            <w:shd w:val="clear" w:color="auto" w:fill="auto"/>
          </w:tcPr>
          <w:p w14:paraId="2C75B30C" w14:textId="39F8AF9F" w:rsidR="004B0676" w:rsidRPr="00FF298C" w:rsidRDefault="004B0676" w:rsidP="00FB7020">
            <w:pPr>
              <w:tabs>
                <w:tab w:val="left" w:pos="2595"/>
              </w:tabs>
              <w:spacing w:after="0" w:line="240" w:lineRule="auto"/>
              <w:rPr>
                <w:strike/>
                <w:szCs w:val="24"/>
              </w:rPr>
            </w:pPr>
          </w:p>
        </w:tc>
      </w:tr>
      <w:tr w:rsidR="00FF298C" w:rsidRPr="00FF298C" w14:paraId="22349549" w14:textId="77777777" w:rsidTr="004B0676">
        <w:trPr>
          <w:gridAfter w:val="1"/>
          <w:wAfter w:w="48" w:type="dxa"/>
          <w:trHeight w:val="177"/>
        </w:trPr>
        <w:tc>
          <w:tcPr>
            <w:tcW w:w="4536" w:type="dxa"/>
            <w:gridSpan w:val="2"/>
            <w:shd w:val="clear" w:color="auto" w:fill="auto"/>
          </w:tcPr>
          <w:p w14:paraId="73EC4E1B" w14:textId="77777777" w:rsidR="004B0676" w:rsidRPr="00FF298C" w:rsidRDefault="004B0676" w:rsidP="00FB7020">
            <w:pPr>
              <w:spacing w:after="0" w:line="240" w:lineRule="auto"/>
              <w:rPr>
                <w:snapToGrid w:val="0"/>
                <w:szCs w:val="24"/>
              </w:rPr>
            </w:pPr>
            <w:r w:rsidRPr="00FF298C">
              <w:rPr>
                <w:snapToGrid w:val="0"/>
                <w:szCs w:val="24"/>
              </w:rPr>
              <w:t>Tālr.: +371 67013302</w:t>
            </w:r>
          </w:p>
        </w:tc>
        <w:tc>
          <w:tcPr>
            <w:tcW w:w="4403" w:type="dxa"/>
            <w:shd w:val="clear" w:color="auto" w:fill="auto"/>
          </w:tcPr>
          <w:p w14:paraId="4B7D550C" w14:textId="14763ECE" w:rsidR="004B0676" w:rsidRPr="00FF298C" w:rsidRDefault="004B0676" w:rsidP="00FB7020">
            <w:pPr>
              <w:spacing w:after="0" w:line="240" w:lineRule="auto"/>
              <w:rPr>
                <w:strike/>
                <w:szCs w:val="24"/>
              </w:rPr>
            </w:pPr>
          </w:p>
        </w:tc>
      </w:tr>
      <w:tr w:rsidR="00FF298C" w:rsidRPr="00FF298C" w14:paraId="49E79DB7" w14:textId="77777777" w:rsidTr="00B34138">
        <w:trPr>
          <w:gridAfter w:val="1"/>
          <w:wAfter w:w="48" w:type="dxa"/>
          <w:trHeight w:val="439"/>
        </w:trPr>
        <w:tc>
          <w:tcPr>
            <w:tcW w:w="4536" w:type="dxa"/>
            <w:gridSpan w:val="2"/>
            <w:shd w:val="clear" w:color="auto" w:fill="auto"/>
          </w:tcPr>
          <w:p w14:paraId="564FE8E3" w14:textId="575B829E" w:rsidR="004B0676" w:rsidRPr="00FF298C" w:rsidRDefault="004B0676" w:rsidP="00FB7020">
            <w:pPr>
              <w:spacing w:after="0" w:line="240" w:lineRule="auto"/>
              <w:rPr>
                <w:szCs w:val="24"/>
              </w:rPr>
            </w:pPr>
            <w:r w:rsidRPr="00FF298C">
              <w:rPr>
                <w:snapToGrid w:val="0"/>
                <w:szCs w:val="24"/>
              </w:rPr>
              <w:t xml:space="preserve">E-pasts: </w:t>
            </w:r>
            <w:hyperlink r:id="rId12" w:history="1">
              <w:r w:rsidRPr="00FF298C">
                <w:rPr>
                  <w:rStyle w:val="Hyperlink"/>
                  <w:snapToGrid w:val="0"/>
                  <w:color w:val="auto"/>
                  <w:szCs w:val="24"/>
                </w:rPr>
                <w:t>pasts@bvkb.gov.lv</w:t>
              </w:r>
            </w:hyperlink>
            <w:r w:rsidRPr="00FF298C">
              <w:rPr>
                <w:rStyle w:val="Hyperlink"/>
                <w:snapToGrid w:val="0"/>
                <w:color w:val="auto"/>
                <w:szCs w:val="24"/>
              </w:rPr>
              <w:t xml:space="preserve"> </w:t>
            </w:r>
            <w:r w:rsidRPr="00FF298C">
              <w:rPr>
                <w:snapToGrid w:val="0"/>
                <w:szCs w:val="24"/>
              </w:rPr>
              <w:t xml:space="preserve"> </w:t>
            </w:r>
          </w:p>
        </w:tc>
        <w:tc>
          <w:tcPr>
            <w:tcW w:w="4403" w:type="dxa"/>
            <w:shd w:val="clear" w:color="auto" w:fill="auto"/>
          </w:tcPr>
          <w:p w14:paraId="52A61E5C" w14:textId="46BB49BE" w:rsidR="004B0676" w:rsidRPr="00FF298C" w:rsidRDefault="004B0676" w:rsidP="00FB7020">
            <w:pPr>
              <w:spacing w:after="0" w:line="240" w:lineRule="auto"/>
              <w:rPr>
                <w:strike/>
                <w:szCs w:val="24"/>
              </w:rPr>
            </w:pPr>
          </w:p>
        </w:tc>
      </w:tr>
      <w:tr w:rsidR="00FF298C" w:rsidRPr="00FF298C" w14:paraId="7589C943" w14:textId="77777777" w:rsidTr="00B34138">
        <w:trPr>
          <w:gridAfter w:val="1"/>
          <w:wAfter w:w="48" w:type="dxa"/>
          <w:trHeight w:val="333"/>
        </w:trPr>
        <w:tc>
          <w:tcPr>
            <w:tcW w:w="4536" w:type="dxa"/>
            <w:gridSpan w:val="2"/>
            <w:shd w:val="clear" w:color="auto" w:fill="auto"/>
          </w:tcPr>
          <w:p w14:paraId="559A5DB4" w14:textId="77777777" w:rsidR="004B0676" w:rsidRPr="00FF298C" w:rsidRDefault="004B0676" w:rsidP="00FB7020">
            <w:pPr>
              <w:spacing w:after="0" w:line="240" w:lineRule="auto"/>
              <w:rPr>
                <w:szCs w:val="24"/>
              </w:rPr>
            </w:pPr>
            <w:r w:rsidRPr="00FF298C">
              <w:rPr>
                <w:i/>
                <w:snapToGrid w:val="0"/>
                <w:szCs w:val="24"/>
              </w:rPr>
              <w:t xml:space="preserve">Norēķinu rekvizīti: </w:t>
            </w:r>
          </w:p>
        </w:tc>
        <w:tc>
          <w:tcPr>
            <w:tcW w:w="4403" w:type="dxa"/>
            <w:shd w:val="clear" w:color="auto" w:fill="auto"/>
          </w:tcPr>
          <w:p w14:paraId="1E09B5A2" w14:textId="1A08D192" w:rsidR="004B0676" w:rsidRPr="00FF298C" w:rsidRDefault="004B0676" w:rsidP="00FB7020">
            <w:pPr>
              <w:spacing w:after="0" w:line="240" w:lineRule="auto"/>
              <w:rPr>
                <w:i/>
                <w:strike/>
                <w:szCs w:val="24"/>
              </w:rPr>
            </w:pPr>
          </w:p>
        </w:tc>
      </w:tr>
      <w:tr w:rsidR="00FF298C" w:rsidRPr="00FF298C" w14:paraId="77E5C9F4" w14:textId="77777777" w:rsidTr="004B0676">
        <w:trPr>
          <w:gridAfter w:val="1"/>
          <w:wAfter w:w="48" w:type="dxa"/>
          <w:trHeight w:val="113"/>
        </w:trPr>
        <w:tc>
          <w:tcPr>
            <w:tcW w:w="4536" w:type="dxa"/>
            <w:gridSpan w:val="2"/>
            <w:shd w:val="clear" w:color="auto" w:fill="auto"/>
          </w:tcPr>
          <w:p w14:paraId="41FAFF22" w14:textId="77777777" w:rsidR="004B0676" w:rsidRPr="00FF298C" w:rsidRDefault="004B0676" w:rsidP="00FB7020">
            <w:pPr>
              <w:spacing w:after="0" w:line="240" w:lineRule="auto"/>
              <w:rPr>
                <w:szCs w:val="24"/>
              </w:rPr>
            </w:pPr>
            <w:r w:rsidRPr="00FF298C">
              <w:rPr>
                <w:snapToGrid w:val="0"/>
                <w:szCs w:val="24"/>
              </w:rPr>
              <w:t>Valsts kase</w:t>
            </w:r>
          </w:p>
        </w:tc>
        <w:tc>
          <w:tcPr>
            <w:tcW w:w="4403" w:type="dxa"/>
            <w:shd w:val="clear" w:color="auto" w:fill="auto"/>
          </w:tcPr>
          <w:p w14:paraId="551A957D" w14:textId="5F5C95D2" w:rsidR="004B0676" w:rsidRPr="00FF298C" w:rsidRDefault="004B0676" w:rsidP="00FB7020">
            <w:pPr>
              <w:spacing w:after="0" w:line="240" w:lineRule="auto"/>
              <w:rPr>
                <w:strike/>
                <w:szCs w:val="24"/>
              </w:rPr>
            </w:pPr>
          </w:p>
        </w:tc>
      </w:tr>
      <w:tr w:rsidR="00FF298C" w:rsidRPr="00FF298C" w14:paraId="3E35100C" w14:textId="77777777" w:rsidTr="004B0676">
        <w:trPr>
          <w:gridAfter w:val="1"/>
          <w:wAfter w:w="48" w:type="dxa"/>
          <w:trHeight w:val="113"/>
        </w:trPr>
        <w:tc>
          <w:tcPr>
            <w:tcW w:w="4536" w:type="dxa"/>
            <w:gridSpan w:val="2"/>
            <w:shd w:val="clear" w:color="auto" w:fill="auto"/>
          </w:tcPr>
          <w:p w14:paraId="458184E9" w14:textId="77777777" w:rsidR="004B0676" w:rsidRPr="00FF298C" w:rsidRDefault="004B0676" w:rsidP="00FB7020">
            <w:pPr>
              <w:spacing w:after="0" w:line="240" w:lineRule="auto"/>
              <w:rPr>
                <w:szCs w:val="24"/>
              </w:rPr>
            </w:pPr>
            <w:r w:rsidRPr="00FF298C">
              <w:rPr>
                <w:snapToGrid w:val="0"/>
                <w:szCs w:val="24"/>
              </w:rPr>
              <w:t>Kods: TRELLV22</w:t>
            </w:r>
          </w:p>
        </w:tc>
        <w:tc>
          <w:tcPr>
            <w:tcW w:w="4403" w:type="dxa"/>
            <w:shd w:val="clear" w:color="auto" w:fill="auto"/>
          </w:tcPr>
          <w:p w14:paraId="14D4AE72" w14:textId="7DEC7393" w:rsidR="004B0676" w:rsidRPr="00FF298C" w:rsidRDefault="004B0676" w:rsidP="00FB7020">
            <w:pPr>
              <w:spacing w:after="0" w:line="240" w:lineRule="auto"/>
              <w:rPr>
                <w:strike/>
                <w:szCs w:val="24"/>
              </w:rPr>
            </w:pPr>
          </w:p>
        </w:tc>
      </w:tr>
      <w:tr w:rsidR="00FF298C" w:rsidRPr="00FF298C" w14:paraId="2D88147D" w14:textId="77777777" w:rsidTr="004B0676">
        <w:trPr>
          <w:gridAfter w:val="1"/>
          <w:wAfter w:w="48" w:type="dxa"/>
          <w:trHeight w:val="113"/>
        </w:trPr>
        <w:tc>
          <w:tcPr>
            <w:tcW w:w="4536" w:type="dxa"/>
            <w:gridSpan w:val="2"/>
            <w:shd w:val="clear" w:color="auto" w:fill="auto"/>
          </w:tcPr>
          <w:p w14:paraId="14B584E3" w14:textId="77777777" w:rsidR="004B0676" w:rsidRPr="00FF298C" w:rsidRDefault="004B0676" w:rsidP="00FB7020">
            <w:pPr>
              <w:spacing w:after="0" w:line="240" w:lineRule="auto"/>
              <w:rPr>
                <w:szCs w:val="24"/>
              </w:rPr>
            </w:pPr>
            <w:r w:rsidRPr="00FF298C">
              <w:rPr>
                <w:snapToGrid w:val="0"/>
                <w:szCs w:val="24"/>
              </w:rPr>
              <w:t>Konta Nr.:</w:t>
            </w:r>
            <w:r w:rsidRPr="00FF298C">
              <w:t xml:space="preserve"> LV82TREL212068600100B</w:t>
            </w:r>
          </w:p>
        </w:tc>
        <w:tc>
          <w:tcPr>
            <w:tcW w:w="4403" w:type="dxa"/>
            <w:shd w:val="clear" w:color="auto" w:fill="auto"/>
          </w:tcPr>
          <w:p w14:paraId="12B7BADB" w14:textId="09BA248A" w:rsidR="004B0676" w:rsidRPr="00FF298C" w:rsidRDefault="004B0676" w:rsidP="00FB7020">
            <w:pPr>
              <w:spacing w:after="0" w:line="240" w:lineRule="auto"/>
              <w:rPr>
                <w:strike/>
                <w:szCs w:val="24"/>
              </w:rPr>
            </w:pPr>
          </w:p>
        </w:tc>
      </w:tr>
      <w:tr w:rsidR="00FF298C" w:rsidRPr="00FF298C" w14:paraId="041D0FE3" w14:textId="77777777" w:rsidTr="004B0676">
        <w:trPr>
          <w:gridAfter w:val="1"/>
          <w:wAfter w:w="48" w:type="dxa"/>
          <w:trHeight w:val="113"/>
        </w:trPr>
        <w:tc>
          <w:tcPr>
            <w:tcW w:w="4536" w:type="dxa"/>
            <w:gridSpan w:val="2"/>
            <w:shd w:val="clear" w:color="auto" w:fill="auto"/>
          </w:tcPr>
          <w:p w14:paraId="5886CA56" w14:textId="77777777" w:rsidR="004B0676" w:rsidRPr="00FF298C" w:rsidRDefault="004B0676" w:rsidP="00777D33">
            <w:pPr>
              <w:rPr>
                <w:snapToGrid w:val="0"/>
                <w:szCs w:val="24"/>
              </w:rPr>
            </w:pPr>
          </w:p>
        </w:tc>
        <w:tc>
          <w:tcPr>
            <w:tcW w:w="4403" w:type="dxa"/>
            <w:shd w:val="clear" w:color="auto" w:fill="auto"/>
          </w:tcPr>
          <w:p w14:paraId="460D37A8" w14:textId="77777777" w:rsidR="004B0676" w:rsidRPr="00FF298C" w:rsidRDefault="004B0676" w:rsidP="00777D33">
            <w:pPr>
              <w:rPr>
                <w:b/>
                <w:strike/>
                <w:szCs w:val="24"/>
              </w:rPr>
            </w:pPr>
          </w:p>
        </w:tc>
      </w:tr>
      <w:tr w:rsidR="00FF298C" w:rsidRPr="00FF298C" w14:paraId="40DB541C" w14:textId="77777777" w:rsidTr="004B0676">
        <w:trPr>
          <w:trHeight w:val="276"/>
        </w:trPr>
        <w:tc>
          <w:tcPr>
            <w:tcW w:w="4527" w:type="dxa"/>
            <w:shd w:val="clear" w:color="auto" w:fill="auto"/>
          </w:tcPr>
          <w:p w14:paraId="7BC012DF" w14:textId="2E2C2604" w:rsidR="004B0676" w:rsidRPr="00FF298C" w:rsidRDefault="004B0676" w:rsidP="00777D33">
            <w:pPr>
              <w:rPr>
                <w:szCs w:val="24"/>
              </w:rPr>
            </w:pPr>
            <w:r w:rsidRPr="00FF298C">
              <w:rPr>
                <w:szCs w:val="24"/>
              </w:rPr>
              <w:t xml:space="preserve">Direktora </w:t>
            </w:r>
            <w:r w:rsidR="009B436A" w:rsidRPr="00FF298C">
              <w:rPr>
                <w:szCs w:val="24"/>
              </w:rPr>
              <w:t>Svetlana Mjakuškina</w:t>
            </w:r>
          </w:p>
        </w:tc>
        <w:tc>
          <w:tcPr>
            <w:tcW w:w="4436" w:type="dxa"/>
            <w:gridSpan w:val="3"/>
            <w:shd w:val="clear" w:color="auto" w:fill="auto"/>
          </w:tcPr>
          <w:p w14:paraId="12A0E0C3" w14:textId="45187FB9" w:rsidR="004B0676" w:rsidRPr="00FF298C" w:rsidRDefault="004B0676" w:rsidP="00777D33">
            <w:pPr>
              <w:rPr>
                <w:strike/>
                <w:szCs w:val="24"/>
              </w:rPr>
            </w:pPr>
          </w:p>
        </w:tc>
      </w:tr>
    </w:tbl>
    <w:p w14:paraId="5A34EEBB" w14:textId="77777777" w:rsidR="00244251" w:rsidRPr="00FF298C" w:rsidRDefault="00244251">
      <w:pPr>
        <w:jc w:val="center"/>
        <w:rPr>
          <w:sz w:val="20"/>
          <w:szCs w:val="20"/>
        </w:rPr>
      </w:pPr>
    </w:p>
    <w:p w14:paraId="3BB7588C" w14:textId="77777777" w:rsidR="00244251" w:rsidRPr="00FF298C" w:rsidRDefault="00244251">
      <w:pPr>
        <w:jc w:val="center"/>
        <w:rPr>
          <w:sz w:val="22"/>
        </w:rPr>
      </w:pPr>
    </w:p>
    <w:p w14:paraId="03CCB9D2" w14:textId="77777777" w:rsidR="00244251" w:rsidRPr="00FF298C" w:rsidRDefault="00147B43">
      <w:pPr>
        <w:jc w:val="center"/>
        <w:rPr>
          <w:sz w:val="20"/>
          <w:szCs w:val="20"/>
        </w:rPr>
      </w:pPr>
      <w:r w:rsidRPr="00FF298C">
        <w:rPr>
          <w:sz w:val="20"/>
          <w:szCs w:val="20"/>
        </w:rPr>
        <w:t>DOKUMENTS IR PARAKSTĪTS AR DROŠU ELEKTRONISKO PARAKSTU UN SATUR LAIKA ZĪMOGU</w:t>
      </w:r>
    </w:p>
    <w:sectPr w:rsidR="00244251" w:rsidRPr="00FF298C" w:rsidSect="006B7EBC">
      <w:footerReference w:type="default" r:id="rId13"/>
      <w:footerReference w:type="first" r:id="rId14"/>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E368" w14:textId="77777777" w:rsidR="0003590E" w:rsidRDefault="0003590E">
      <w:pPr>
        <w:spacing w:after="0" w:line="240" w:lineRule="auto"/>
      </w:pPr>
      <w:r>
        <w:separator/>
      </w:r>
    </w:p>
  </w:endnote>
  <w:endnote w:type="continuationSeparator" w:id="0">
    <w:p w14:paraId="417FECE9" w14:textId="77777777" w:rsidR="0003590E" w:rsidRDefault="0003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719394"/>
      <w:docPartObj>
        <w:docPartGallery w:val="Page Numbers (Bottom of Page)"/>
        <w:docPartUnique/>
      </w:docPartObj>
    </w:sdtPr>
    <w:sdtEndPr>
      <w:rPr>
        <w:noProof/>
      </w:rPr>
    </w:sdtEndPr>
    <w:sdtContent>
      <w:p w14:paraId="033C485B" w14:textId="77777777" w:rsidR="00244251" w:rsidRDefault="00147B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628635"/>
      <w:docPartObj>
        <w:docPartGallery w:val="Page Numbers (Bottom of Page)"/>
        <w:docPartUnique/>
      </w:docPartObj>
    </w:sdtPr>
    <w:sdtEndPr>
      <w:rPr>
        <w:noProof/>
      </w:rPr>
    </w:sdtEndPr>
    <w:sdtContent>
      <w:p w14:paraId="1D1EC009" w14:textId="77777777" w:rsidR="00244251" w:rsidRDefault="00147B4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2A8F" w14:textId="77777777" w:rsidR="0003590E" w:rsidRDefault="0003590E">
      <w:pPr>
        <w:spacing w:after="0" w:line="240" w:lineRule="auto"/>
      </w:pPr>
      <w:r>
        <w:separator/>
      </w:r>
    </w:p>
  </w:footnote>
  <w:footnote w:type="continuationSeparator" w:id="0">
    <w:p w14:paraId="032C6C18" w14:textId="77777777" w:rsidR="0003590E" w:rsidRDefault="00035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E37"/>
    <w:multiLevelType w:val="multilevel"/>
    <w:tmpl w:val="7E40CC6E"/>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D330A9"/>
    <w:multiLevelType w:val="multilevel"/>
    <w:tmpl w:val="DAEE98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D056D"/>
    <w:multiLevelType w:val="hybridMultilevel"/>
    <w:tmpl w:val="CEF0658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759707B"/>
    <w:multiLevelType w:val="multilevel"/>
    <w:tmpl w:val="C7A0EF5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ascii="Times New Roman" w:hAnsi="Times New Roman" w:cs="Times New Roman" w:hint="default"/>
        <w:b w:val="0"/>
        <w:color w:val="auto"/>
        <w:sz w:val="24"/>
        <w:szCs w:val="24"/>
      </w:rPr>
    </w:lvl>
    <w:lvl w:ilvl="2">
      <w:start w:val="1"/>
      <w:numFmt w:val="decimal"/>
      <w:lvlText w:val="%1.%2.%3."/>
      <w:lvlJc w:val="left"/>
      <w:pPr>
        <w:tabs>
          <w:tab w:val="num" w:pos="1428"/>
        </w:tabs>
        <w:ind w:left="1212" w:hanging="504"/>
      </w:pPr>
      <w:rPr>
        <w:rFonts w:cs="Times New Roman"/>
        <w:b w:val="0"/>
      </w:rPr>
    </w:lvl>
    <w:lvl w:ilvl="3">
      <w:start w:val="1"/>
      <w:numFmt w:val="decimal"/>
      <w:lvlText w:val="%1.%2.%3.%4."/>
      <w:lvlJc w:val="left"/>
      <w:pPr>
        <w:tabs>
          <w:tab w:val="num" w:pos="1800"/>
        </w:tabs>
        <w:ind w:left="172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22FE1556"/>
    <w:multiLevelType w:val="multilevel"/>
    <w:tmpl w:val="4FF4CE46"/>
    <w:lvl w:ilvl="0">
      <w:start w:val="1"/>
      <w:numFmt w:val="decimal"/>
      <w:lvlText w:val="%1."/>
      <w:lvlJc w:val="left"/>
      <w:pPr>
        <w:ind w:left="360" w:hanging="360"/>
      </w:pPr>
      <w:rPr>
        <w:rFonts w:hint="default"/>
      </w:rPr>
    </w:lvl>
    <w:lvl w:ilvl="1">
      <w:start w:val="1"/>
      <w:numFmt w:val="decimal"/>
      <w:lvlText w:val="%1.%2."/>
      <w:lvlJc w:val="left"/>
      <w:pPr>
        <w:ind w:left="567" w:hanging="567"/>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47" w:hanging="680"/>
      </w:pPr>
      <w:rPr>
        <w:rFonts w:hint="default"/>
      </w:rPr>
    </w:lvl>
    <w:lvl w:ilvl="3">
      <w:start w:val="1"/>
      <w:numFmt w:val="decimal"/>
      <w:lvlText w:val="%1.%2.%3.%4."/>
      <w:lvlJc w:val="left"/>
      <w:pPr>
        <w:ind w:left="1701"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E6540B"/>
    <w:multiLevelType w:val="hybridMultilevel"/>
    <w:tmpl w:val="DD4C59CC"/>
    <w:lvl w:ilvl="0" w:tplc="05A4D1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2941743"/>
    <w:multiLevelType w:val="multilevel"/>
    <w:tmpl w:val="C8365E8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921675"/>
    <w:multiLevelType w:val="hybridMultilevel"/>
    <w:tmpl w:val="28686B36"/>
    <w:lvl w:ilvl="0" w:tplc="6930DD82">
      <w:start w:val="1"/>
      <w:numFmt w:val="decimal"/>
      <w:lvlText w:val="%1."/>
      <w:lvlJc w:val="left"/>
      <w:pPr>
        <w:ind w:left="360" w:hanging="360"/>
      </w:pPr>
      <w:rPr>
        <w:rFonts w:hint="default"/>
        <w:b/>
      </w:rPr>
    </w:lvl>
    <w:lvl w:ilvl="1" w:tplc="91329386">
      <w:numFmt w:val="none"/>
      <w:lvlText w:val=""/>
      <w:lvlJc w:val="left"/>
      <w:pPr>
        <w:tabs>
          <w:tab w:val="num" w:pos="360"/>
        </w:tabs>
      </w:pPr>
    </w:lvl>
    <w:lvl w:ilvl="2" w:tplc="2716C1E4">
      <w:numFmt w:val="none"/>
      <w:lvlText w:val=""/>
      <w:lvlJc w:val="left"/>
      <w:pPr>
        <w:tabs>
          <w:tab w:val="num" w:pos="360"/>
        </w:tabs>
      </w:pPr>
    </w:lvl>
    <w:lvl w:ilvl="3" w:tplc="D06A1E32">
      <w:numFmt w:val="none"/>
      <w:lvlText w:val=""/>
      <w:lvlJc w:val="left"/>
      <w:pPr>
        <w:tabs>
          <w:tab w:val="num" w:pos="360"/>
        </w:tabs>
      </w:pPr>
    </w:lvl>
    <w:lvl w:ilvl="4" w:tplc="B9A69DFA">
      <w:numFmt w:val="none"/>
      <w:lvlText w:val=""/>
      <w:lvlJc w:val="left"/>
      <w:pPr>
        <w:tabs>
          <w:tab w:val="num" w:pos="360"/>
        </w:tabs>
      </w:pPr>
    </w:lvl>
    <w:lvl w:ilvl="5" w:tplc="EA40307C">
      <w:numFmt w:val="none"/>
      <w:lvlText w:val=""/>
      <w:lvlJc w:val="left"/>
      <w:pPr>
        <w:tabs>
          <w:tab w:val="num" w:pos="360"/>
        </w:tabs>
      </w:pPr>
    </w:lvl>
    <w:lvl w:ilvl="6" w:tplc="71B47310">
      <w:numFmt w:val="none"/>
      <w:lvlText w:val=""/>
      <w:lvlJc w:val="left"/>
      <w:pPr>
        <w:tabs>
          <w:tab w:val="num" w:pos="360"/>
        </w:tabs>
      </w:pPr>
    </w:lvl>
    <w:lvl w:ilvl="7" w:tplc="C3901370">
      <w:numFmt w:val="none"/>
      <w:lvlText w:val=""/>
      <w:lvlJc w:val="left"/>
      <w:pPr>
        <w:tabs>
          <w:tab w:val="num" w:pos="360"/>
        </w:tabs>
      </w:pPr>
    </w:lvl>
    <w:lvl w:ilvl="8" w:tplc="33409512">
      <w:numFmt w:val="none"/>
      <w:lvlText w:val=""/>
      <w:lvlJc w:val="left"/>
      <w:pPr>
        <w:tabs>
          <w:tab w:val="num" w:pos="360"/>
        </w:tabs>
      </w:pPr>
    </w:lvl>
  </w:abstractNum>
  <w:abstractNum w:abstractNumId="8" w15:restartNumberingAfterBreak="0">
    <w:nsid w:val="38A71F4B"/>
    <w:multiLevelType w:val="multilevel"/>
    <w:tmpl w:val="BACEE7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84BA1"/>
    <w:multiLevelType w:val="hybridMultilevel"/>
    <w:tmpl w:val="4380F8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BFF6218"/>
    <w:multiLevelType w:val="hybridMultilevel"/>
    <w:tmpl w:val="F3CC68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612FCE"/>
    <w:multiLevelType w:val="multilevel"/>
    <w:tmpl w:val="68F87C7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2D49F5"/>
    <w:multiLevelType w:val="multilevel"/>
    <w:tmpl w:val="14704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E20E4C"/>
    <w:multiLevelType w:val="multilevel"/>
    <w:tmpl w:val="9C365530"/>
    <w:lvl w:ilvl="0">
      <w:start w:val="1"/>
      <w:numFmt w:val="lowerLetter"/>
      <w:lvlText w:val="%1)"/>
      <w:lvlJc w:val="left"/>
      <w:pPr>
        <w:ind w:left="601" w:hanging="317"/>
      </w:pPr>
      <w:rPr>
        <w:rFonts w:hint="default"/>
        <w:b w:val="0"/>
        <w:i w:val="0"/>
        <w:color w:val="auto"/>
        <w:sz w:val="20"/>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6A5B7EE9"/>
    <w:multiLevelType w:val="multilevel"/>
    <w:tmpl w:val="5F92B6D0"/>
    <w:lvl w:ilvl="0">
      <w:start w:val="1"/>
      <w:numFmt w:val="decimal"/>
      <w:pStyle w:val="Heading1"/>
      <w:lvlText w:val="%1."/>
      <w:lvlJc w:val="left"/>
      <w:pPr>
        <w:ind w:left="360" w:hanging="360"/>
      </w:pPr>
      <w:rPr>
        <w:rFonts w:hint="default"/>
      </w:rPr>
    </w:lvl>
    <w:lvl w:ilvl="1">
      <w:start w:val="1"/>
      <w:numFmt w:val="decimal"/>
      <w:pStyle w:val="ListParagraph"/>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253D2F"/>
    <w:multiLevelType w:val="multilevel"/>
    <w:tmpl w:val="AF1C4D62"/>
    <w:lvl w:ilvl="0">
      <w:start w:val="1"/>
      <w:numFmt w:val="decimal"/>
      <w:lvlText w:val="%1."/>
      <w:lvlJc w:val="left"/>
      <w:pPr>
        <w:ind w:left="720" w:hanging="360"/>
      </w:pPr>
      <w:rPr>
        <w:rFonts w:hint="default"/>
        <w:b/>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F49021C"/>
    <w:multiLevelType w:val="hybridMultilevel"/>
    <w:tmpl w:val="38D4AD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F8A3DBB"/>
    <w:multiLevelType w:val="multilevel"/>
    <w:tmpl w:val="405A3B1A"/>
    <w:lvl w:ilvl="0">
      <w:start w:val="3"/>
      <w:numFmt w:val="decimal"/>
      <w:lvlText w:val="%1."/>
      <w:lvlJc w:val="left"/>
      <w:pPr>
        <w:ind w:left="36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5"/>
  </w:num>
  <w:num w:numId="2">
    <w:abstractNumId w:val="17"/>
  </w:num>
  <w:num w:numId="3">
    <w:abstractNumId w:val="10"/>
  </w:num>
  <w:num w:numId="4">
    <w:abstractNumId w:val="2"/>
  </w:num>
  <w:num w:numId="5">
    <w:abstractNumId w:val="12"/>
  </w:num>
  <w:num w:numId="6">
    <w:abstractNumId w:val="8"/>
  </w:num>
  <w:num w:numId="7">
    <w:abstractNumId w:val="6"/>
  </w:num>
  <w:num w:numId="8">
    <w:abstractNumId w:val="16"/>
  </w:num>
  <w:num w:numId="9">
    <w:abstractNumId w:val="5"/>
  </w:num>
  <w:num w:numId="10">
    <w:abstractNumId w:val="1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7"/>
  </w:num>
  <w:num w:numId="14">
    <w:abstractNumId w:val="4"/>
  </w:num>
  <w:num w:numId="15">
    <w:abstractNumId w:val="13"/>
  </w:num>
  <w:num w:numId="16">
    <w:abstractNumId w:val="0"/>
  </w:num>
  <w:num w:numId="17">
    <w:abstractNumId w:val="3"/>
  </w:num>
  <w:num w:numId="18">
    <w:abstractNumId w:val="11"/>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51"/>
    <w:rsid w:val="000045E1"/>
    <w:rsid w:val="00032241"/>
    <w:rsid w:val="0003590E"/>
    <w:rsid w:val="00037031"/>
    <w:rsid w:val="00051688"/>
    <w:rsid w:val="000D19B5"/>
    <w:rsid w:val="000E37EE"/>
    <w:rsid w:val="00136545"/>
    <w:rsid w:val="00147B43"/>
    <w:rsid w:val="00172F32"/>
    <w:rsid w:val="00176FB2"/>
    <w:rsid w:val="001A7B52"/>
    <w:rsid w:val="001C24FC"/>
    <w:rsid w:val="001F1601"/>
    <w:rsid w:val="00202E6C"/>
    <w:rsid w:val="00244251"/>
    <w:rsid w:val="002739DA"/>
    <w:rsid w:val="002B720B"/>
    <w:rsid w:val="002C0818"/>
    <w:rsid w:val="00312F0E"/>
    <w:rsid w:val="00336434"/>
    <w:rsid w:val="003961EA"/>
    <w:rsid w:val="00443D6A"/>
    <w:rsid w:val="00453C05"/>
    <w:rsid w:val="004B0676"/>
    <w:rsid w:val="005411A9"/>
    <w:rsid w:val="00552C99"/>
    <w:rsid w:val="0057309A"/>
    <w:rsid w:val="005A6366"/>
    <w:rsid w:val="005D3126"/>
    <w:rsid w:val="005D3210"/>
    <w:rsid w:val="006023D0"/>
    <w:rsid w:val="0062485A"/>
    <w:rsid w:val="00665FF1"/>
    <w:rsid w:val="006B2F9F"/>
    <w:rsid w:val="006B57DC"/>
    <w:rsid w:val="006B7EBC"/>
    <w:rsid w:val="006F34EF"/>
    <w:rsid w:val="006F5686"/>
    <w:rsid w:val="00706091"/>
    <w:rsid w:val="00763763"/>
    <w:rsid w:val="00770783"/>
    <w:rsid w:val="007A31A4"/>
    <w:rsid w:val="007C0381"/>
    <w:rsid w:val="007D7321"/>
    <w:rsid w:val="0081374A"/>
    <w:rsid w:val="00830AF3"/>
    <w:rsid w:val="00831CFA"/>
    <w:rsid w:val="0089390D"/>
    <w:rsid w:val="008A14C3"/>
    <w:rsid w:val="008C274F"/>
    <w:rsid w:val="00920111"/>
    <w:rsid w:val="00993D3A"/>
    <w:rsid w:val="009B436A"/>
    <w:rsid w:val="009D6FCE"/>
    <w:rsid w:val="009E45B8"/>
    <w:rsid w:val="00A011FF"/>
    <w:rsid w:val="00A04247"/>
    <w:rsid w:val="00A131E1"/>
    <w:rsid w:val="00A47291"/>
    <w:rsid w:val="00A65A4E"/>
    <w:rsid w:val="00AD16C6"/>
    <w:rsid w:val="00AF04BC"/>
    <w:rsid w:val="00B237D1"/>
    <w:rsid w:val="00B2729A"/>
    <w:rsid w:val="00B34138"/>
    <w:rsid w:val="00B41A22"/>
    <w:rsid w:val="00B52375"/>
    <w:rsid w:val="00B71627"/>
    <w:rsid w:val="00B94ABC"/>
    <w:rsid w:val="00BA0D51"/>
    <w:rsid w:val="00BC3DE3"/>
    <w:rsid w:val="00BE1ADE"/>
    <w:rsid w:val="00C03BC3"/>
    <w:rsid w:val="00C1559C"/>
    <w:rsid w:val="00C42638"/>
    <w:rsid w:val="00C742D2"/>
    <w:rsid w:val="00C82932"/>
    <w:rsid w:val="00CB2FAB"/>
    <w:rsid w:val="00D74DC3"/>
    <w:rsid w:val="00DC2B58"/>
    <w:rsid w:val="00DD2520"/>
    <w:rsid w:val="00DD4A35"/>
    <w:rsid w:val="00E0471A"/>
    <w:rsid w:val="00E15D36"/>
    <w:rsid w:val="00E22FEA"/>
    <w:rsid w:val="00E6081A"/>
    <w:rsid w:val="00E72ADE"/>
    <w:rsid w:val="00EA6A67"/>
    <w:rsid w:val="00EB36C8"/>
    <w:rsid w:val="00ED7309"/>
    <w:rsid w:val="00F16304"/>
    <w:rsid w:val="00F223A8"/>
    <w:rsid w:val="00F24FA7"/>
    <w:rsid w:val="00F338CA"/>
    <w:rsid w:val="00F76980"/>
    <w:rsid w:val="00FB7020"/>
    <w:rsid w:val="00FD5978"/>
    <w:rsid w:val="00FE5E1F"/>
    <w:rsid w:val="00FF2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60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Times New Roman" w:hAnsi="Times New Roman" w:cs="Times New Roman"/>
      <w:sz w:val="24"/>
      <w:lang w:eastAsia="lv-LV"/>
    </w:rPr>
  </w:style>
  <w:style w:type="paragraph" w:styleId="Heading1">
    <w:name w:val="heading 1"/>
    <w:basedOn w:val="ListParagraph"/>
    <w:link w:val="Heading1Char"/>
    <w:uiPriority w:val="9"/>
    <w:qFormat/>
    <w:pPr>
      <w:keepNext/>
      <w:numPr>
        <w:ilvl w:val="0"/>
      </w:numPr>
      <w:spacing w:before="180" w:after="120" w:line="240" w:lineRule="auto"/>
      <w:ind w:left="357" w:hanging="357"/>
      <w:jc w:val="center"/>
      <w:outlineLvl w:val="0"/>
    </w:pPr>
    <w:rPr>
      <w: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z w:val="24"/>
      <w:szCs w:val="24"/>
      <w:lang w:eastAsia="lv-LV"/>
    </w:rPr>
  </w:style>
  <w:style w:type="paragraph" w:styleId="ListParagraph">
    <w:name w:val="List Paragraph"/>
    <w:aliases w:val="2,Bullet list,List Paragraph1,Normal bullet 2,PPS_Bullet,Saistīto dokumentu saraksts,Virsraksti,H&amp;P List Paragraph,Syle 1,Numurets,Strip,Colorful List - Accent 12,Saraksta rindkopa1,Akapit z listą BS,Bull,Bullet 1,Bullet Points,Dot pt"/>
    <w:basedOn w:val="Normal"/>
    <w:link w:val="ListParagraphChar"/>
    <w:qFormat/>
    <w:pPr>
      <w:numPr>
        <w:ilvl w:val="1"/>
        <w:numId w:val="11"/>
      </w:numPr>
      <w:spacing w:after="0"/>
      <w:contextualSpacing/>
      <w:jc w:val="both"/>
    </w:pPr>
    <w:rPr>
      <w:szCs w:val="24"/>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sz w:val="24"/>
      <w:lang w:eastAsia="lv-LV"/>
    </w:rPr>
  </w:style>
  <w:style w:type="table" w:styleId="TableGrid">
    <w:name w:val="Table Grid"/>
    <w:basedOn w:val="TableNormal"/>
    <w:uiPriority w:val="99"/>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lang w:eastAsia="lv-LV"/>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lv-LV"/>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sz w:val="24"/>
      <w:lang w:eastAsia="lv-LV"/>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lang w:eastAsia="lv-LV"/>
    </w:rPr>
  </w:style>
  <w:style w:type="paragraph" w:styleId="Title">
    <w:name w:val="Title"/>
    <w:basedOn w:val="Heading1"/>
    <w:next w:val="Normal"/>
    <w:link w:val="TitleChar"/>
    <w:uiPriority w:val="10"/>
    <w:qFormat/>
    <w:pPr>
      <w:numPr>
        <w:numId w:val="0"/>
      </w:numPr>
    </w:pPr>
  </w:style>
  <w:style w:type="character" w:customStyle="1" w:styleId="TitleChar">
    <w:name w:val="Title Char"/>
    <w:basedOn w:val="DefaultParagraphFont"/>
    <w:link w:val="Title"/>
    <w:uiPriority w:val="10"/>
    <w:rPr>
      <w:rFonts w:ascii="Times New Roman" w:eastAsia="Times New Roman" w:hAnsi="Times New Roman" w:cs="Times New Roman"/>
      <w:b/>
      <w:sz w:val="24"/>
      <w:szCs w:val="24"/>
      <w:lang w:eastAsia="lv-LV"/>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lang w:eastAsia="lv-LV"/>
    </w:rPr>
  </w:style>
  <w:style w:type="character" w:customStyle="1" w:styleId="NumberingChar">
    <w:name w:val="Numbering Char"/>
    <w:link w:val="Numbering"/>
    <w:uiPriority w:val="99"/>
    <w:locked/>
    <w:rPr>
      <w:rFonts w:eastAsia="Times New Roman" w:cs="Times New Roman"/>
      <w:sz w:val="20"/>
      <w:szCs w:val="20"/>
    </w:rPr>
  </w:style>
  <w:style w:type="paragraph" w:customStyle="1" w:styleId="Numbering">
    <w:name w:val="Numbering"/>
    <w:basedOn w:val="Normal"/>
    <w:link w:val="NumberingChar"/>
    <w:uiPriority w:val="99"/>
    <w:pPr>
      <w:spacing w:after="0" w:line="240" w:lineRule="auto"/>
      <w:ind w:left="567" w:right="-58" w:hanging="567"/>
      <w:jc w:val="both"/>
      <w:outlineLvl w:val="1"/>
    </w:pPr>
    <w:rPr>
      <w:rFonts w:asciiTheme="minorHAnsi" w:hAnsiTheme="minorHAnsi"/>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lv-LV"/>
    </w:rPr>
  </w:style>
  <w:style w:type="character" w:styleId="UnresolvedMention">
    <w:name w:val="Unresolved Mention"/>
    <w:basedOn w:val="DefaultParagraphFont"/>
    <w:uiPriority w:val="99"/>
    <w:semiHidden/>
    <w:unhideWhenUsed/>
    <w:rsid w:val="00831CFA"/>
    <w:rPr>
      <w:color w:val="605E5C"/>
      <w:shd w:val="clear" w:color="auto" w:fill="E1DFDD"/>
    </w:rPr>
  </w:style>
  <w:style w:type="paragraph" w:styleId="Revision">
    <w:name w:val="Revision"/>
    <w:hidden/>
    <w:uiPriority w:val="99"/>
    <w:semiHidden/>
    <w:rsid w:val="007D7321"/>
    <w:pPr>
      <w:spacing w:after="0" w:line="240" w:lineRule="auto"/>
    </w:pPr>
    <w:rPr>
      <w:rFonts w:ascii="Times New Roman" w:eastAsia="Times New Roman" w:hAnsi="Times New Roman" w:cs="Times New Roman"/>
      <w:sz w:val="24"/>
      <w:lang w:eastAsia="lv-LV"/>
    </w:rPr>
  </w:style>
  <w:style w:type="character" w:customStyle="1" w:styleId="ListParagraphChar">
    <w:name w:val="List Paragraph Char"/>
    <w:aliases w:val="2 Char,Bullet list Char,List Paragraph1 Char,Normal bullet 2 Char,PPS_Bullet Char,Saistīto dokumentu saraksts Char,Virsraksti Char,H&amp;P List Paragraph Char,Syle 1 Char,Numurets Char,Strip Char,Colorful List - Accent 12 Char,Bull Char"/>
    <w:link w:val="ListParagraph"/>
    <w:uiPriority w:val="34"/>
    <w:qFormat/>
    <w:locked/>
    <w:rsid w:val="000045E1"/>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semiHidden/>
    <w:unhideWhenUsed/>
    <w:rsid w:val="002B720B"/>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2B72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4259">
      <w:bodyDiv w:val="1"/>
      <w:marLeft w:val="0"/>
      <w:marRight w:val="0"/>
      <w:marTop w:val="0"/>
      <w:marBottom w:val="0"/>
      <w:divBdr>
        <w:top w:val="none" w:sz="0" w:space="0" w:color="auto"/>
        <w:left w:val="none" w:sz="0" w:space="0" w:color="auto"/>
        <w:bottom w:val="none" w:sz="0" w:space="0" w:color="auto"/>
        <w:right w:val="none" w:sz="0" w:space="0" w:color="auto"/>
      </w:divBdr>
    </w:div>
    <w:div w:id="812871556">
      <w:bodyDiv w:val="1"/>
      <w:marLeft w:val="0"/>
      <w:marRight w:val="0"/>
      <w:marTop w:val="0"/>
      <w:marBottom w:val="0"/>
      <w:divBdr>
        <w:top w:val="none" w:sz="0" w:space="0" w:color="auto"/>
        <w:left w:val="none" w:sz="0" w:space="0" w:color="auto"/>
        <w:bottom w:val="none" w:sz="0" w:space="0" w:color="auto"/>
        <w:right w:val="none" w:sz="0" w:space="0" w:color="auto"/>
      </w:divBdr>
    </w:div>
    <w:div w:id="1090083021">
      <w:bodyDiv w:val="1"/>
      <w:marLeft w:val="0"/>
      <w:marRight w:val="0"/>
      <w:marTop w:val="0"/>
      <w:marBottom w:val="0"/>
      <w:divBdr>
        <w:top w:val="none" w:sz="0" w:space="0" w:color="auto"/>
        <w:left w:val="none" w:sz="0" w:space="0" w:color="auto"/>
        <w:bottom w:val="none" w:sz="0" w:space="0" w:color="auto"/>
        <w:right w:val="none" w:sz="0" w:space="0" w:color="auto"/>
      </w:divBdr>
    </w:div>
    <w:div w:id="1307389964">
      <w:bodyDiv w:val="1"/>
      <w:marLeft w:val="0"/>
      <w:marRight w:val="0"/>
      <w:marTop w:val="0"/>
      <w:marBottom w:val="0"/>
      <w:divBdr>
        <w:top w:val="none" w:sz="0" w:space="0" w:color="auto"/>
        <w:left w:val="none" w:sz="0" w:space="0" w:color="auto"/>
        <w:bottom w:val="none" w:sz="0" w:space="0" w:color="auto"/>
        <w:right w:val="none" w:sz="0" w:space="0" w:color="auto"/>
      </w:divBdr>
    </w:div>
    <w:div w:id="1486700459">
      <w:bodyDiv w:val="1"/>
      <w:marLeft w:val="0"/>
      <w:marRight w:val="0"/>
      <w:marTop w:val="0"/>
      <w:marBottom w:val="0"/>
      <w:divBdr>
        <w:top w:val="none" w:sz="0" w:space="0" w:color="auto"/>
        <w:left w:val="none" w:sz="0" w:space="0" w:color="auto"/>
        <w:bottom w:val="none" w:sz="0" w:space="0" w:color="auto"/>
        <w:right w:val="none" w:sz="0" w:space="0" w:color="auto"/>
      </w:divBdr>
    </w:div>
    <w:div w:id="17077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tasktop.com/tasktop/supported-repository-vers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bvkb.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rs.Bojars@bvk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d.gov.lv/lv/informacija-par-darba-vietam-2019gada-atbilstosi-profesiju-klasifikatoram" TargetMode="External"/><Relationship Id="rId4" Type="http://schemas.openxmlformats.org/officeDocument/2006/relationships/settings" Target="settings.xml"/><Relationship Id="rId9" Type="http://schemas.openxmlformats.org/officeDocument/2006/relationships/hyperlink" Target="mailto:pasts@bvkb.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F4B2-4594-4CCE-933E-B808B912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11282</Words>
  <Characters>6431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2022-06-06T20:15:00Z</dcterms:created>
  <dcterms:modified xsi:type="dcterms:W3CDTF">2022-06-10T07:06:00Z</dcterms:modified>
</cp:coreProperties>
</file>